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bookmarkStart w:id="6" w:name="_Toc15897_WPSOffice_Level2Page"/>
          <w:r>
            <w:rPr>
              <w:sz w:val="18"/>
              <w:szCs w:val="18"/>
            </w:rPr>
            <w:t>4</w:t>
          </w:r>
          <w:bookmarkEnd w:id="6"/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bookmarkStart w:id="7" w:name="_Toc11578_WPSOffice_Level1Page"/>
          <w:r>
            <w:rPr>
              <w:b/>
              <w:bCs/>
            </w:rPr>
            <w:t>4</w:t>
          </w:r>
          <w:bookmarkEnd w:id="7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bookmarkStart w:id="8" w:name="_Toc28989_WPSOffice_Level2Page"/>
          <w:r>
            <w:rPr>
              <w:sz w:val="18"/>
              <w:szCs w:val="18"/>
            </w:rPr>
            <w:t>4</w:t>
          </w:r>
          <w:bookmarkEnd w:id="8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bookmarkStart w:id="9" w:name="_Toc10690_WPSOffice_Level2Page"/>
          <w:r>
            <w:rPr>
              <w:sz w:val="18"/>
              <w:szCs w:val="18"/>
            </w:rPr>
            <w:t>6</w:t>
          </w:r>
          <w:bookmarkEnd w:id="9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bookmarkStart w:id="10" w:name="_Toc12369_WPSOffice_Level2Page"/>
          <w:r>
            <w:rPr>
              <w:sz w:val="18"/>
              <w:szCs w:val="18"/>
            </w:rPr>
            <w:t>7</w:t>
          </w:r>
          <w:bookmarkEnd w:id="10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"_Toc23163_WPSOffice_Level2"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4.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控制信号模式设置</w:t>
          </w:r>
          <w:r>
            <w:rPr>
              <w:sz w:val="18"/>
              <w:szCs w:val="18"/>
            </w:rPr>
            <w:tab/>
          </w:r>
          <w:bookmarkStart w:id="11" w:name="_Toc23163_WPSOffice_Level2Page"/>
          <w:r>
            <w:rPr>
              <w:sz w:val="18"/>
              <w:szCs w:val="18"/>
            </w:rPr>
            <w:t>7</w:t>
          </w:r>
          <w:bookmarkEnd w:id="11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5.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bookmarkStart w:id="12" w:name="_Toc30698_WPSOffice_Level2Page"/>
          <w:r>
            <w:rPr>
              <w:sz w:val="18"/>
              <w:szCs w:val="18"/>
            </w:rPr>
            <w:t>7</w:t>
          </w:r>
          <w:bookmarkEnd w:id="12"/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bookmarkStart w:id="13" w:name="_Toc9268_WPSOffice_Level1Page"/>
          <w:r>
            <w:rPr>
              <w:b/>
              <w:bCs/>
            </w:rPr>
            <w:t>8</w:t>
          </w:r>
          <w:bookmarkEnd w:id="13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功能设置</w:t>
          </w:r>
          <w:r>
            <w:rPr>
              <w:sz w:val="18"/>
              <w:szCs w:val="18"/>
            </w:rPr>
            <w:tab/>
          </w:r>
          <w:bookmarkStart w:id="14" w:name="_Toc2953_WPSOffice_Level2Page"/>
          <w:r>
            <w:rPr>
              <w:sz w:val="18"/>
              <w:szCs w:val="18"/>
            </w:rPr>
            <w:t>8</w:t>
          </w:r>
          <w:bookmarkEnd w:id="1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bookmarkStart w:id="15" w:name="_Toc3544_WPSOffice_Level2Page"/>
          <w:r>
            <w:rPr>
              <w:sz w:val="18"/>
              <w:szCs w:val="18"/>
            </w:rPr>
            <w:t>8</w:t>
          </w:r>
          <w:bookmarkEnd w:id="1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"_Toc3218_WPSOffice_Level2"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工作模式设置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9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9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"_Toc20685_WPSOffice_Level2"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短路保护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2.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numPr>
              <w:ilvl w:val="0"/>
              <w:numId w:val="1"/>
            </w:numPr>
            <w:tabs>
              <w:tab w:val="right" w:leader="dot" w:pos="9638"/>
            </w:tabs>
            <w:ind w:left="420"/>
            <w:rPr>
              <w:rFonts w:hint="default" w:ascii="微软雅黑" w:hAnsi="微软雅黑" w:eastAsia="微软雅黑" w:cs="微软雅黑"/>
              <w:sz w:val="18"/>
              <w:szCs w:val="18"/>
              <w:lang w:val="en-US" w:eastAsia="zh-CN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欠压保护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</w:p>
        <w:p>
          <w:pPr>
            <w:pStyle w:val="10"/>
            <w:numPr>
              <w:ilvl w:val="0"/>
              <w:numId w:val="1"/>
            </w:numPr>
            <w:tabs>
              <w:tab w:val="right" w:leader="dot" w:pos="9638"/>
            </w:tabs>
            <w:ind w:left="420"/>
          </w:pP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</w:p>
        <w:p>
          <w:pPr>
            <w:pStyle w:val="10"/>
            <w:numPr>
              <w:ilvl w:val="0"/>
              <w:numId w:val="1"/>
            </w:numPr>
            <w:tabs>
              <w:tab w:val="right" w:leader="dot" w:pos="9638"/>
            </w:tabs>
            <w:ind w:left="420"/>
          </w:pPr>
          <w:r>
            <w:rPr>
              <w:rFonts w:hint="eastAsia" w:eastAsia="微软雅黑"/>
              <w:sz w:val="18"/>
              <w:szCs w:val="18"/>
              <w:lang w:eastAsia="zh-CN"/>
            </w:rPr>
            <w:t>超差报警信号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16" w:name="_Toc14787_WPSOffice_Level1"/>
      <w:bookmarkStart w:id="1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16"/>
    <w:bookmarkEnd w:id="1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18" w:name="_Toc25850_WPSOffice_Level1"/>
      <w:bookmarkStart w:id="1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HS86HV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混合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步进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伺服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驱动器</w:t>
      </w:r>
      <w:bookmarkEnd w:id="18"/>
      <w:bookmarkEnd w:id="19"/>
    </w:p>
    <w:p>
      <w:pPr>
        <w:numPr>
          <w:ilvl w:val="0"/>
          <w:numId w:val="2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20"/>
    </w:p>
    <w:p>
      <w:pPr>
        <w:numPr>
          <w:ilvl w:val="0"/>
          <w:numId w:val="3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HS86HV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格睿物联技术有限公司最</w:t>
      </w:r>
      <w:r>
        <w:rPr>
          <w:rFonts w:hint="eastAsia" w:ascii="微软雅黑" w:hAnsi="微软雅黑" w:eastAsia="微软雅黑" w:cs="微软雅黑"/>
          <w:sz w:val="18"/>
          <w:szCs w:val="18"/>
        </w:rPr>
        <w:t>新推出的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带串口调试功能的</w:t>
      </w:r>
      <w:r>
        <w:rPr>
          <w:rFonts w:hint="eastAsia" w:ascii="微软雅黑" w:hAnsi="微软雅黑" w:eastAsia="微软雅黑" w:cs="微软雅黑"/>
          <w:sz w:val="18"/>
          <w:szCs w:val="18"/>
        </w:rPr>
        <w:t>数字式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混合</w:t>
      </w:r>
      <w:r>
        <w:rPr>
          <w:rFonts w:hint="eastAsia" w:ascii="微软雅黑" w:hAnsi="微软雅黑" w:eastAsia="微软雅黑" w:cs="微软雅黑"/>
          <w:sz w:val="18"/>
          <w:szCs w:val="18"/>
        </w:rPr>
        <w:t>步进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伺服</w:t>
      </w:r>
      <w:r>
        <w:rPr>
          <w:rFonts w:hint="eastAsia" w:ascii="微软雅黑" w:hAnsi="微软雅黑" w:eastAsia="微软雅黑" w:cs="微软雅黑"/>
          <w:sz w:val="18"/>
          <w:szCs w:val="18"/>
        </w:rPr>
        <w:t>驱动器，采用最新32位DSP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</w:t>
      </w:r>
      <w:r>
        <w:rPr>
          <w:rFonts w:hint="eastAsia" w:ascii="微软雅黑" w:hAnsi="微软雅黑" w:eastAsia="微软雅黑" w:cs="微软雅黑"/>
          <w:sz w:val="18"/>
          <w:szCs w:val="18"/>
        </w:rPr>
        <w:t>技术，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集成了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MODBUS-RTU标准协议规范，</w:t>
      </w:r>
      <w:r>
        <w:rPr>
          <w:rFonts w:hint="eastAsia" w:ascii="微软雅黑" w:hAnsi="微软雅黑" w:eastAsia="微软雅黑" w:cs="微软雅黑"/>
          <w:sz w:val="18"/>
          <w:szCs w:val="18"/>
        </w:rPr>
        <w:t>用户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可通过上位机调试软件</w:t>
      </w:r>
      <w:r>
        <w:rPr>
          <w:rFonts w:hint="eastAsia" w:ascii="微软雅黑" w:hAnsi="微软雅黑" w:eastAsia="微软雅黑" w:cs="微软雅黑"/>
          <w:sz w:val="18"/>
          <w:szCs w:val="18"/>
        </w:rPr>
        <w:t>设置200-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4000</w:t>
      </w:r>
      <w:r>
        <w:rPr>
          <w:rFonts w:hint="eastAsia" w:ascii="微软雅黑" w:hAnsi="微软雅黑" w:eastAsia="微软雅黑" w:cs="微软雅黑"/>
          <w:sz w:val="18"/>
          <w:szCs w:val="18"/>
        </w:rPr>
        <w:t>0内的任意细分以及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工作模式等多个参数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极大地丰富了产品的实用功能，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HS86HV驱动器采用类伺服的控制原理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兼容了开环步进和伺服系统的双重优点，彻底解决了开环步进丢步的问题，极大地提升了步进系统的性能，同时降低了电机的发热和低速振动。相对于伺服系统，大大降低了调试难度，具有快速启停，停机无振动等优点，且其体积小、成本低、性价比高，能够满足绝大多数场合的应用。</w:t>
      </w:r>
    </w:p>
    <w:p>
      <w:pPr>
        <w:numPr>
          <w:ilvl w:val="0"/>
          <w:numId w:val="3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22"/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带串口调试功能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外置拨码选择驱动器工作模式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体积小，便于安装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细分                           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●脉冲响应频率最高可达200KHz（更高可改）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●细分设定范围200-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40000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●精密电流控制使电机发热大为降低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●静止时电流自动减半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3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2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24"/>
    </w:p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2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HS86HV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6" w:name="_Toc9268_WPSOffice_Level2"/>
    </w:p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2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27"/>
    </w:p>
    <w:p>
      <w:pPr>
        <w:jc w:val="center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  <w:drawing>
          <wp:inline distT="0" distB="0" distL="114300" distR="114300">
            <wp:extent cx="2740025" cy="5189855"/>
            <wp:effectExtent l="0" t="0" r="3175" b="10795"/>
            <wp:docPr id="2" name="图片 2" descr="HS86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S86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t="4559"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51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drawing>
          <wp:inline distT="0" distB="0" distL="114300" distR="114300">
            <wp:extent cx="1797050" cy="5380990"/>
            <wp:effectExtent l="0" t="0" r="12700" b="10160"/>
            <wp:docPr id="5" name="图片 5" descr="HS86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S86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 xml:space="preserve">                              正面安装图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28"/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9" w:name="_Toc11578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29"/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30"/>
    </w:p>
    <w:p>
      <w:pPr>
        <w:numPr>
          <w:ilvl w:val="0"/>
          <w:numId w:val="7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3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3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另外，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ENA端还可用于清除超差报警信号。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输出信号</w:t>
      </w:r>
      <w:r>
        <w:rPr>
          <w:rFonts w:hint="eastAsia" w:ascii="微软雅黑" w:hAnsi="微软雅黑" w:eastAsia="微软雅黑" w:cs="微软雅黑"/>
          <w:b/>
          <w:bCs/>
          <w:szCs w:val="21"/>
        </w:rPr>
        <w:t>接口</w:t>
      </w:r>
    </w:p>
    <w:tbl>
      <w:tblPr>
        <w:tblStyle w:val="7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PEND+</w:t>
            </w:r>
          </w:p>
        </w:tc>
        <w:tc>
          <w:tcPr>
            <w:tcW w:w="78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到位信号输出：电机到达控制指令指定的位置，到位信号输出有效；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PEND+接上拉电阻到输出电源正极，PEND-接控制器的信号输入端；最大驱动电流50mA。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PEND-</w:t>
            </w:r>
          </w:p>
        </w:tc>
        <w:tc>
          <w:tcPr>
            <w:tcW w:w="78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ALM+</w:t>
            </w:r>
          </w:p>
        </w:tc>
        <w:tc>
          <w:tcPr>
            <w:tcW w:w="78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报警信号输出：过流、过压、欠压或位置超差报警发生时，报警信号输出有效；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ALM+接上拉电阻到输出电源正极，ALM-接控制器的信号输入端；最大驱动电流50mA。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ALM-</w:t>
            </w:r>
          </w:p>
        </w:tc>
        <w:tc>
          <w:tcPr>
            <w:tcW w:w="78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编码器接口</w:t>
      </w:r>
    </w:p>
    <w:tbl>
      <w:tblPr>
        <w:tblStyle w:val="7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7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7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PB+</w:t>
            </w:r>
          </w:p>
        </w:tc>
        <w:tc>
          <w:tcPr>
            <w:tcW w:w="7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B相输入接口，需注意线序。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PB-</w:t>
            </w:r>
          </w:p>
        </w:tc>
        <w:tc>
          <w:tcPr>
            <w:tcW w:w="7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PA+</w:t>
            </w:r>
          </w:p>
        </w:tc>
        <w:tc>
          <w:tcPr>
            <w:tcW w:w="7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PA-</w:t>
            </w:r>
          </w:p>
        </w:tc>
        <w:tc>
          <w:tcPr>
            <w:tcW w:w="7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VCC</w:t>
            </w:r>
          </w:p>
        </w:tc>
        <w:tc>
          <w:tcPr>
            <w:tcW w:w="7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5V供电电源正端。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EGND</w:t>
            </w:r>
          </w:p>
        </w:tc>
        <w:tc>
          <w:tcPr>
            <w:tcW w:w="7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5V供电电源负端。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：闭环电机底部标签上注有编码器的接线顺序，需严格按照标签上的接线。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4）</w:t>
      </w: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交流输入电源，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AC20V-80V(DC30V-110V)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，需注意线序。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：闭环电机底部标签上注有电机的接线顺序，需严格按照标签上的接线。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5）</w:t>
      </w:r>
      <w:r>
        <w:rPr>
          <w:rFonts w:hint="eastAsia" w:ascii="微软雅黑" w:hAnsi="微软雅黑" w:eastAsia="微软雅黑" w:cs="微软雅黑"/>
          <w:b/>
          <w:bCs/>
          <w:szCs w:val="21"/>
        </w:rPr>
        <w:t>232通讯接口</w:t>
      </w:r>
    </w:p>
    <w:p>
      <w:pPr>
        <w:spacing w:line="360" w:lineRule="auto"/>
        <w:ind w:firstLine="360" w:firstLineChars="20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HS86HV驱动的串口通讯接口采用PH2.0-7P的端子，</w:t>
      </w:r>
      <w:r>
        <w:rPr>
          <w:rFonts w:hint="eastAsia" w:ascii="微软雅黑" w:hAnsi="微软雅黑" w:eastAsia="微软雅黑" w:cs="微软雅黑"/>
          <w:sz w:val="18"/>
          <w:szCs w:val="18"/>
        </w:rPr>
        <w:t>可以通过专用串口电缆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线经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USB转TTL串口转换工具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连接至</w:t>
      </w:r>
      <w:r>
        <w:rPr>
          <w:rFonts w:hint="eastAsia" w:ascii="微软雅黑" w:hAnsi="微软雅黑" w:eastAsia="微软雅黑" w:cs="微软雅黑"/>
          <w:sz w:val="18"/>
          <w:szCs w:val="18"/>
        </w:rPr>
        <w:t>PC机，禁止带电插拔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！</w:t>
      </w:r>
      <w:r>
        <w:rPr>
          <w:rFonts w:hint="eastAsia" w:ascii="微软雅黑" w:hAnsi="微软雅黑" w:eastAsia="微软雅黑" w:cs="微软雅黑"/>
          <w:sz w:val="18"/>
          <w:szCs w:val="18"/>
        </w:rPr>
        <w:t>通过在PC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端，客户</w:t>
      </w:r>
      <w:r>
        <w:rPr>
          <w:rFonts w:hint="eastAsia" w:ascii="微软雅黑" w:hAnsi="微软雅黑" w:eastAsia="微软雅黑" w:cs="微软雅黑"/>
          <w:sz w:val="18"/>
          <w:szCs w:val="18"/>
        </w:rPr>
        <w:t>可以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</w:rPr>
        <w:t>所需要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tbl>
      <w:tblPr>
        <w:tblStyle w:val="7"/>
        <w:tblW w:w="6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61"/>
        <w:gridCol w:w="271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端子号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符号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RS232通讯地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TXD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RS232发送端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RXD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RS232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端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HS86HV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与PC机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连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接的电缆必须为专用电缆（视用户情况随机附送）使用前确认，以免发生损坏。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6）</w:t>
      </w: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spacing w:line="360" w:lineRule="auto"/>
        <w:ind w:left="500" w:leftChars="238" w:firstLine="0" w:firstLineChars="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2"/>
        <w:gridCol w:w="3692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60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6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69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20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</w:t>
            </w:r>
          </w:p>
        </w:tc>
        <w:tc>
          <w:tcPr>
            <w:tcW w:w="3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1" name="图片 1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692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&gt;AC80V/DC110V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69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&lt;AC20V/DC30V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9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spacing w:line="360" w:lineRule="auto"/>
        <w:ind w:firstLine="420" w:firstLineChars="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32" w:name="_Toc10690_WPSOffice_Level2"/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超差报警时，红色LED常亮，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若是由过压或欠压引起的超差报警，则红色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LED会不间断的快速频闪。另外，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当发生超差报警时，可通过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ENA端使能清除超差报警信号。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  <w:bookmarkEnd w:id="32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HS86HV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spacing w:line="360" w:lineRule="auto"/>
        <w:jc w:val="both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3260090"/>
            <wp:effectExtent l="0" t="0" r="12700" b="16510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3287395"/>
            <wp:effectExtent l="0" t="0" r="12700" b="825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HS86HV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3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019675" cy="2028825"/>
            <wp:effectExtent l="0" t="0" r="9525" b="952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注释：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4" w:name="_Toc23163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控制信号模式设置</w:t>
      </w:r>
      <w:bookmarkEnd w:id="34"/>
    </w:p>
    <w:p>
      <w:pPr>
        <w:spacing w:line="360" w:lineRule="auto"/>
        <w:ind w:left="105" w:leftChars="50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脉冲触发沿选择：通过PC机软件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</w:t>
      </w:r>
      <w:r>
        <w:rPr>
          <w:rFonts w:hint="eastAsia" w:ascii="微软雅黑" w:hAnsi="微软雅黑" w:eastAsia="微软雅黑" w:cs="微软雅黑"/>
          <w:sz w:val="18"/>
          <w:szCs w:val="18"/>
        </w:rPr>
        <w:t>设置脉冲上升沿或下降沿触发有效。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5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35"/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10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36" w:name="_Toc9268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36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HS86HV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SW1-SW4用于ALM、PEND输出组态设置、算法选择、最大峰值电流设置、方向选择；SW5-SW8用于细分设置；SW9-SW10用于工作模式选择。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SW9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功能设置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工作模式设置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功能设置</w:t>
      </w:r>
    </w:p>
    <w:p>
      <w:pPr>
        <w:numPr>
          <w:ilvl w:val="0"/>
          <w:numId w:val="12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szCs w:val="21"/>
          <w:lang w:val="en-US" w:eastAsia="zh-CN"/>
        </w:rPr>
        <w:t>ALM、PEND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输出组态设置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SW1设置ALM、PEND的输出信号阻态，SW1=off时，为常开状态；SW1=on时，为常闭状态。</w:t>
      </w:r>
    </w:p>
    <w:p>
      <w:pPr>
        <w:numPr>
          <w:ilvl w:val="0"/>
          <w:numId w:val="12"/>
        </w:num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算法选择</w:t>
      </w:r>
    </w:p>
    <w:p>
      <w:pPr>
        <w:spacing w:line="360" w:lineRule="auto"/>
        <w:ind w:firstLine="360" w:firstLineChars="20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SW2用于选择驱动器的控制算法，SW2=off时，为A算法；SW2=on时，为B算法。</w:t>
      </w:r>
    </w:p>
    <w:p>
      <w:pPr>
        <w:numPr>
          <w:ilvl w:val="0"/>
          <w:numId w:val="12"/>
        </w:num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最大电流设置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SW3设置驱动器的最大输出电流，SW3=off时，为小电流输出，主要适配57或60闭环电机；SW3=on时，为大电流输出，主要适配86闭环电机。</w:t>
      </w:r>
    </w:p>
    <w:p>
      <w:pPr>
        <w:numPr>
          <w:ilvl w:val="0"/>
          <w:numId w:val="12"/>
        </w:num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方向选择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SW4设置电机的初始旋转方向，SW4=off时，为正方向旋转；SW4=on时，为反方向旋转。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bookmarkStart w:id="37" w:name="_Toc3544_WPSOffice_Level2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细分</w:t>
      </w:r>
      <w:bookmarkEnd w:id="37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  <w:tc>
          <w:tcPr>
            <w:tcW w:w="331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细分说明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当SW5、SW6、SW7、SW8都为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off状态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时，用户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通过PC机软件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设置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200-40000的任意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细分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25600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51200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工作模式设置</w:t>
      </w:r>
    </w:p>
    <w:tbl>
      <w:tblPr>
        <w:tblStyle w:val="7"/>
        <w:tblW w:w="8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7"/>
        <w:gridCol w:w="2575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SW9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SW10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工作模式选择</w:t>
            </w: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脉冲+方向</w:t>
            </w:r>
          </w:p>
        </w:tc>
        <w:tc>
          <w:tcPr>
            <w:tcW w:w="3292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当SW9、SW10都为off状态时，用户可通过PC机软件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自行设置工作模式。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脉冲+方向带平滑处理</w:t>
            </w:r>
          </w:p>
        </w:tc>
        <w:tc>
          <w:tcPr>
            <w:tcW w:w="329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双脉冲</w:t>
            </w:r>
          </w:p>
        </w:tc>
        <w:tc>
          <w:tcPr>
            <w:tcW w:w="329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自发脉冲</w:t>
            </w:r>
          </w:p>
        </w:tc>
        <w:tc>
          <w:tcPr>
            <w:tcW w:w="329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修改后需重新上电才能生效。</w:t>
      </w:r>
    </w:p>
    <w:p>
      <w:pPr>
        <w:numPr>
          <w:ilvl w:val="0"/>
          <w:numId w:val="10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38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38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39" w:name="_Toc28989_WPSOffice_Level1"/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HS86HV</w:t>
      </w:r>
      <w:bookmarkStart w:id="42" w:name="_GoBack"/>
      <w:bookmarkEnd w:id="42"/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可采用变压器供电，建议变压器的交流输出电压</w:t>
      </w:r>
      <w:r>
        <w:rPr>
          <w:rFonts w:hint="eastAsia" w:ascii="微软雅黑" w:hAnsi="微软雅黑" w:eastAsia="微软雅黑" w:cs="微软雅黑"/>
          <w:sz w:val="18"/>
          <w:szCs w:val="18"/>
        </w:rPr>
        <w:t>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。HS86HV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</w:t>
      </w:r>
      <w:r>
        <w:rPr>
          <w:rFonts w:hint="eastAsia" w:ascii="微软雅黑" w:hAnsi="微软雅黑" w:eastAsia="微软雅黑" w:cs="微软雅黑"/>
          <w:sz w:val="18"/>
          <w:szCs w:val="18"/>
        </w:rPr>
        <w:t>采用非稳压型直流电源供电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建议用户使用低于最大电压的直流电压供电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，避免电网波动超过驱动器的工作电压范围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最好用非稳压型电源；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10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39"/>
    </w:p>
    <w:p>
      <w:pPr>
        <w:numPr>
          <w:ilvl w:val="0"/>
          <w:numId w:val="14"/>
        </w:numPr>
        <w:spacing w:line="360" w:lineRule="auto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40" w:name="_Toc20685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40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41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41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AC80V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AC20V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超差报警信号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当发生超差报警时，驱动器的红灯将保持常亮或快速频闪的状态。</w:t>
      </w:r>
      <w:r>
        <w:rPr>
          <w:rFonts w:hint="eastAsia" w:ascii="微软雅黑" w:hAnsi="微软雅黑" w:eastAsia="微软雅黑" w:cs="微软雅黑"/>
          <w:sz w:val="18"/>
          <w:szCs w:val="18"/>
        </w:rPr>
        <w:t>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，可通过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ENA端清除报警或重新上电复位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</w:t>
    </w:r>
    <w:r>
      <w:rPr>
        <w:rFonts w:hint="eastAsia"/>
      </w:rPr>
      <w:t xml:space="preserve">             </w:t>
    </w:r>
    <w:r>
      <w:rPr>
        <w:rFonts w:hint="eastAsia"/>
        <w:lang w:val="en-US" w:eastAsia="zh-CN"/>
      </w:rPr>
      <w:t xml:space="preserve"> HS86HV</w:t>
    </w:r>
    <w:r>
      <w:rPr>
        <w:rFonts w:hint="eastAsia"/>
      </w:rPr>
      <w:t>数字式</w:t>
    </w:r>
    <w:r>
      <w:rPr>
        <w:rFonts w:hint="eastAsia"/>
        <w:lang w:eastAsia="zh-CN"/>
      </w:rPr>
      <w:t>混合</w:t>
    </w:r>
    <w:r>
      <w:rPr>
        <w:rFonts w:hint="eastAsia"/>
      </w:rPr>
      <w:t>步进</w:t>
    </w:r>
    <w:r>
      <w:rPr>
        <w:rFonts w:hint="eastAsia"/>
        <w:lang w:eastAsia="zh-CN"/>
      </w:rPr>
      <w:t>伺服</w:t>
    </w:r>
    <w:r>
      <w:rPr>
        <w:rFonts w:hint="eastAsia"/>
      </w:rPr>
      <w:t>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2C4FEBB"/>
    <w:multiLevelType w:val="singleLevel"/>
    <w:tmpl w:val="92C4FEBB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796C351"/>
    <w:multiLevelType w:val="singleLevel"/>
    <w:tmpl w:val="0796C351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1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3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FF26F4"/>
    <w:rsid w:val="01166072"/>
    <w:rsid w:val="016075F7"/>
    <w:rsid w:val="022E027F"/>
    <w:rsid w:val="024E444B"/>
    <w:rsid w:val="026C7530"/>
    <w:rsid w:val="02D46311"/>
    <w:rsid w:val="03B3128C"/>
    <w:rsid w:val="03B64BFF"/>
    <w:rsid w:val="03D65101"/>
    <w:rsid w:val="040D4F60"/>
    <w:rsid w:val="0423712E"/>
    <w:rsid w:val="043F7BBD"/>
    <w:rsid w:val="057061EA"/>
    <w:rsid w:val="07D944D2"/>
    <w:rsid w:val="07E05125"/>
    <w:rsid w:val="08224B57"/>
    <w:rsid w:val="08323D96"/>
    <w:rsid w:val="090A360A"/>
    <w:rsid w:val="094C2972"/>
    <w:rsid w:val="0A09616F"/>
    <w:rsid w:val="0A5D2BF1"/>
    <w:rsid w:val="0AF03078"/>
    <w:rsid w:val="0B8966B9"/>
    <w:rsid w:val="0BC772B9"/>
    <w:rsid w:val="0C4176E6"/>
    <w:rsid w:val="0C505BC9"/>
    <w:rsid w:val="0D657C70"/>
    <w:rsid w:val="0E4B311A"/>
    <w:rsid w:val="0E6938B0"/>
    <w:rsid w:val="0F7F711A"/>
    <w:rsid w:val="0FC7273D"/>
    <w:rsid w:val="0FD7644E"/>
    <w:rsid w:val="12E723E3"/>
    <w:rsid w:val="12EC1659"/>
    <w:rsid w:val="13087A72"/>
    <w:rsid w:val="136876CA"/>
    <w:rsid w:val="14760B17"/>
    <w:rsid w:val="14F91774"/>
    <w:rsid w:val="154C1A67"/>
    <w:rsid w:val="15534962"/>
    <w:rsid w:val="15906837"/>
    <w:rsid w:val="15EA6DDC"/>
    <w:rsid w:val="17B711F6"/>
    <w:rsid w:val="17F23324"/>
    <w:rsid w:val="18CE4743"/>
    <w:rsid w:val="18FA57A6"/>
    <w:rsid w:val="19E71785"/>
    <w:rsid w:val="1A3578AB"/>
    <w:rsid w:val="1A6F16F9"/>
    <w:rsid w:val="1ABA34B1"/>
    <w:rsid w:val="1B070BAF"/>
    <w:rsid w:val="1B077B9A"/>
    <w:rsid w:val="1B881E53"/>
    <w:rsid w:val="1C221CE9"/>
    <w:rsid w:val="1C2C4754"/>
    <w:rsid w:val="1C873FFE"/>
    <w:rsid w:val="1E6A4918"/>
    <w:rsid w:val="1E9E5DD9"/>
    <w:rsid w:val="1EFF273F"/>
    <w:rsid w:val="1FA33251"/>
    <w:rsid w:val="1FBF0A42"/>
    <w:rsid w:val="1FEA7CD7"/>
    <w:rsid w:val="1FF42C65"/>
    <w:rsid w:val="205765BD"/>
    <w:rsid w:val="21210377"/>
    <w:rsid w:val="212B798D"/>
    <w:rsid w:val="220C1A25"/>
    <w:rsid w:val="22605BD5"/>
    <w:rsid w:val="23352742"/>
    <w:rsid w:val="2369509F"/>
    <w:rsid w:val="23746B52"/>
    <w:rsid w:val="23D92C3D"/>
    <w:rsid w:val="24083166"/>
    <w:rsid w:val="244D0C0D"/>
    <w:rsid w:val="260D1904"/>
    <w:rsid w:val="26265A6B"/>
    <w:rsid w:val="26267BBE"/>
    <w:rsid w:val="269B69A9"/>
    <w:rsid w:val="26E5451C"/>
    <w:rsid w:val="282A7DE1"/>
    <w:rsid w:val="28583EE1"/>
    <w:rsid w:val="29682341"/>
    <w:rsid w:val="29850EAE"/>
    <w:rsid w:val="29C95921"/>
    <w:rsid w:val="2A070884"/>
    <w:rsid w:val="2AD661A1"/>
    <w:rsid w:val="2B49288B"/>
    <w:rsid w:val="2C455599"/>
    <w:rsid w:val="2C9024FD"/>
    <w:rsid w:val="2CEB36BD"/>
    <w:rsid w:val="2D546B1F"/>
    <w:rsid w:val="2D631468"/>
    <w:rsid w:val="2D9F267E"/>
    <w:rsid w:val="2DA137B3"/>
    <w:rsid w:val="2E480081"/>
    <w:rsid w:val="2F286AB1"/>
    <w:rsid w:val="2F505133"/>
    <w:rsid w:val="2F671187"/>
    <w:rsid w:val="2F761AB5"/>
    <w:rsid w:val="2FDF3A19"/>
    <w:rsid w:val="3154180B"/>
    <w:rsid w:val="32B91FA4"/>
    <w:rsid w:val="32E83101"/>
    <w:rsid w:val="32EA287E"/>
    <w:rsid w:val="33406B51"/>
    <w:rsid w:val="3366351A"/>
    <w:rsid w:val="338B375B"/>
    <w:rsid w:val="33F34D1D"/>
    <w:rsid w:val="348D2076"/>
    <w:rsid w:val="35B84674"/>
    <w:rsid w:val="35E00299"/>
    <w:rsid w:val="35FB77A9"/>
    <w:rsid w:val="36DF4823"/>
    <w:rsid w:val="37FF61C0"/>
    <w:rsid w:val="38927E20"/>
    <w:rsid w:val="39B64BE3"/>
    <w:rsid w:val="3A7E722A"/>
    <w:rsid w:val="3ACA0A79"/>
    <w:rsid w:val="3B1057BF"/>
    <w:rsid w:val="3B6D2FA6"/>
    <w:rsid w:val="3D1B2B4F"/>
    <w:rsid w:val="3D254B32"/>
    <w:rsid w:val="3D814925"/>
    <w:rsid w:val="3DB8273C"/>
    <w:rsid w:val="3E2D0A5F"/>
    <w:rsid w:val="3E48642C"/>
    <w:rsid w:val="3EBF2E2C"/>
    <w:rsid w:val="3F782E63"/>
    <w:rsid w:val="3F7D6C1D"/>
    <w:rsid w:val="3FD94A37"/>
    <w:rsid w:val="40911EE3"/>
    <w:rsid w:val="40E26D93"/>
    <w:rsid w:val="41140BC8"/>
    <w:rsid w:val="42122C99"/>
    <w:rsid w:val="425B4A3E"/>
    <w:rsid w:val="43926F31"/>
    <w:rsid w:val="43A53FF5"/>
    <w:rsid w:val="43CB168D"/>
    <w:rsid w:val="43F123DA"/>
    <w:rsid w:val="43F2769A"/>
    <w:rsid w:val="43F8110E"/>
    <w:rsid w:val="441C2B92"/>
    <w:rsid w:val="44B42992"/>
    <w:rsid w:val="45C30523"/>
    <w:rsid w:val="460810E1"/>
    <w:rsid w:val="46E26EC9"/>
    <w:rsid w:val="47632D17"/>
    <w:rsid w:val="47882F07"/>
    <w:rsid w:val="48030004"/>
    <w:rsid w:val="480561EF"/>
    <w:rsid w:val="48510FEF"/>
    <w:rsid w:val="48917993"/>
    <w:rsid w:val="48A815E4"/>
    <w:rsid w:val="493C518B"/>
    <w:rsid w:val="4B05560A"/>
    <w:rsid w:val="4B1E2E0F"/>
    <w:rsid w:val="4B86304D"/>
    <w:rsid w:val="4B8B0709"/>
    <w:rsid w:val="4C344439"/>
    <w:rsid w:val="4C5E79A5"/>
    <w:rsid w:val="4E40285F"/>
    <w:rsid w:val="4E47689E"/>
    <w:rsid w:val="4F443DEB"/>
    <w:rsid w:val="4F5365D5"/>
    <w:rsid w:val="4FDE68BC"/>
    <w:rsid w:val="4FFE310E"/>
    <w:rsid w:val="52306DE1"/>
    <w:rsid w:val="52347230"/>
    <w:rsid w:val="530F2C11"/>
    <w:rsid w:val="539947FC"/>
    <w:rsid w:val="53A243DD"/>
    <w:rsid w:val="53D66A7A"/>
    <w:rsid w:val="53E66B12"/>
    <w:rsid w:val="543215CD"/>
    <w:rsid w:val="54F61E2B"/>
    <w:rsid w:val="572A5575"/>
    <w:rsid w:val="578F332D"/>
    <w:rsid w:val="58571567"/>
    <w:rsid w:val="59D033D4"/>
    <w:rsid w:val="59E1255E"/>
    <w:rsid w:val="59F22309"/>
    <w:rsid w:val="5ABA6A37"/>
    <w:rsid w:val="5B345470"/>
    <w:rsid w:val="5BAC4672"/>
    <w:rsid w:val="5BC5146F"/>
    <w:rsid w:val="5BEA1FF4"/>
    <w:rsid w:val="5C165CD4"/>
    <w:rsid w:val="5C2477D7"/>
    <w:rsid w:val="5CA34B44"/>
    <w:rsid w:val="5D0376BF"/>
    <w:rsid w:val="5D6A7758"/>
    <w:rsid w:val="5DFA614F"/>
    <w:rsid w:val="5E8D5293"/>
    <w:rsid w:val="5F09549E"/>
    <w:rsid w:val="5F311774"/>
    <w:rsid w:val="5F6E0395"/>
    <w:rsid w:val="5FFD0C46"/>
    <w:rsid w:val="5FFF6A24"/>
    <w:rsid w:val="61164EC7"/>
    <w:rsid w:val="61AA7B04"/>
    <w:rsid w:val="62311B1C"/>
    <w:rsid w:val="62334026"/>
    <w:rsid w:val="62413B5D"/>
    <w:rsid w:val="637F2C3F"/>
    <w:rsid w:val="63C04060"/>
    <w:rsid w:val="63DA095C"/>
    <w:rsid w:val="63DF0D8E"/>
    <w:rsid w:val="645E6D04"/>
    <w:rsid w:val="64AD6D92"/>
    <w:rsid w:val="66281DC8"/>
    <w:rsid w:val="663B6169"/>
    <w:rsid w:val="666D3B8B"/>
    <w:rsid w:val="66B3026D"/>
    <w:rsid w:val="67787FD4"/>
    <w:rsid w:val="67A12195"/>
    <w:rsid w:val="67CD511C"/>
    <w:rsid w:val="67F3397D"/>
    <w:rsid w:val="67F7058E"/>
    <w:rsid w:val="6871307C"/>
    <w:rsid w:val="687617BD"/>
    <w:rsid w:val="68885C8C"/>
    <w:rsid w:val="68BC35D6"/>
    <w:rsid w:val="68E41DC8"/>
    <w:rsid w:val="69036D6D"/>
    <w:rsid w:val="69E203AF"/>
    <w:rsid w:val="6A1E307E"/>
    <w:rsid w:val="6B464BA6"/>
    <w:rsid w:val="6BF00AFD"/>
    <w:rsid w:val="6C951A00"/>
    <w:rsid w:val="6D38566E"/>
    <w:rsid w:val="6D8F7D0E"/>
    <w:rsid w:val="6E270D0A"/>
    <w:rsid w:val="6E392719"/>
    <w:rsid w:val="6E6D3716"/>
    <w:rsid w:val="6EAE2547"/>
    <w:rsid w:val="6EAF5ECE"/>
    <w:rsid w:val="6EB72135"/>
    <w:rsid w:val="6ED30A4E"/>
    <w:rsid w:val="6F4552C5"/>
    <w:rsid w:val="6FC26DD3"/>
    <w:rsid w:val="6FEF2B39"/>
    <w:rsid w:val="706B5927"/>
    <w:rsid w:val="708E7144"/>
    <w:rsid w:val="70974DEA"/>
    <w:rsid w:val="70E54314"/>
    <w:rsid w:val="712E57C8"/>
    <w:rsid w:val="72373462"/>
    <w:rsid w:val="73324FC4"/>
    <w:rsid w:val="73361538"/>
    <w:rsid w:val="748B693F"/>
    <w:rsid w:val="74DF3DC6"/>
    <w:rsid w:val="752A6BA8"/>
    <w:rsid w:val="755E148F"/>
    <w:rsid w:val="773E5EA8"/>
    <w:rsid w:val="7741603C"/>
    <w:rsid w:val="776B35EA"/>
    <w:rsid w:val="77E52DAC"/>
    <w:rsid w:val="78304396"/>
    <w:rsid w:val="7896344A"/>
    <w:rsid w:val="78A820FE"/>
    <w:rsid w:val="79803217"/>
    <w:rsid w:val="79EE05E0"/>
    <w:rsid w:val="7A473776"/>
    <w:rsid w:val="7AA41EB8"/>
    <w:rsid w:val="7B2E29A5"/>
    <w:rsid w:val="7C9267BB"/>
    <w:rsid w:val="7D1F4FB6"/>
    <w:rsid w:val="7D653A96"/>
    <w:rsid w:val="7DE52FCB"/>
    <w:rsid w:val="7E4A7B39"/>
    <w:rsid w:val="7F90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3954</Words>
  <Characters>4668</Characters>
  <Lines>62</Lines>
  <Paragraphs>17</Paragraphs>
  <TotalTime>12</TotalTime>
  <ScaleCrop>false</ScaleCrop>
  <LinksUpToDate>false</LinksUpToDate>
  <CharactersWithSpaces>4940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2023-02-10T01:23:51Z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BEDCF217C00D47F2B105007BA1129FA2</vt:lpwstr>
  </property>
</Properties>
</file>