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kern w:val="0"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</w:pPr>
      <w:bookmarkStart w:id="0" w:name="_Toc16849"/>
      <w:bookmarkStart w:id="1" w:name="_Toc5667"/>
      <w:bookmarkStart w:id="2" w:name="_Toc29782"/>
      <w:bookmarkStart w:id="3" w:name="_Toc18193"/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HS1-60-SC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交直流脉冲型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  <w:t>闭环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</w:rPr>
        <w:t>步进驱动器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</w:pPr>
    </w:p>
    <w:bookmarkEnd w:id="0"/>
    <w:bookmarkEnd w:id="1"/>
    <w:bookmarkEnd w:id="2"/>
    <w:bookmarkEnd w:id="3"/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tabs>
          <w:tab w:val="left" w:pos="3104"/>
        </w:tabs>
        <w:spacing w:line="360" w:lineRule="auto"/>
        <w:jc w:val="left"/>
        <w:rPr>
          <w:rFonts w:hint="default" w:ascii="Times New Roman" w:hAnsi="Times New Roman" w:eastAsia="微软雅黑" w:cs="Times New Roman"/>
          <w:b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  <w:tab/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Style w:val="20"/>
          <w:rFonts w:hint="default" w:ascii="Times New Roman" w:hAnsi="Times New Roman" w:eastAsia="微软雅黑" w:cs="Times New Roman"/>
          <w:sz w:val="28"/>
          <w:szCs w:val="28"/>
          <w:lang w:val="en-US" w:eastAsia="zh-CN"/>
        </w:rPr>
      </w:pPr>
      <w:bookmarkStart w:id="4" w:name="_Toc14482"/>
      <w:bookmarkStart w:id="5" w:name="_Toc13974"/>
      <w:bookmarkStart w:id="6" w:name="_Toc26621"/>
      <w:bookmarkStart w:id="7" w:name="_Toc13466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用户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手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册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V1.</w:t>
      </w:r>
      <w:bookmarkEnd w:id="4"/>
      <w:bookmarkEnd w:id="5"/>
      <w:bookmarkEnd w:id="6"/>
      <w:bookmarkEnd w:id="7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val="en-US" w:eastAsia="zh-CN"/>
        </w:rPr>
        <w:t>0.0</w:t>
      </w:r>
    </w:p>
    <w:p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深圳市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格睿物联技术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有限公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司</w:t>
      </w:r>
    </w:p>
    <w:sdt>
      <w:sdtPr>
        <w:rPr>
          <w:rFonts w:hint="default" w:ascii="Times New Roman" w:hAnsi="Times New Roman" w:eastAsia="微软雅黑" w:cs="Times New Roman"/>
          <w:b/>
          <w:bCs/>
          <w:kern w:val="2"/>
          <w:sz w:val="18"/>
          <w:szCs w:val="18"/>
          <w:lang w:val="en-US" w:eastAsia="zh-CN" w:bidi="ar-SA"/>
        </w:rPr>
        <w:id w:val="14746030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微软雅黑" w:cs="Times New Roman"/>
          <w:b/>
          <w:bCs/>
          <w:kern w:val="44"/>
          <w:sz w:val="18"/>
          <w:szCs w:val="18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  <w:t>目录</w:t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b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b/>
              <w:sz w:val="18"/>
              <w:szCs w:val="18"/>
              <w:highlight w:val="none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_Toc6647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一、 产品简介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_Toc6647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_Toc19004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1.1 产品概述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_Toc19004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_Toc21936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1.2 产品特点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_Toc21936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_Toc20924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1.3 应用领域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_Toc20924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_Toc26833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二、 电气、机械和环境指标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_Toc26833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_Toc3729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2.1 机械安装图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_Toc3729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_Toc30281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加强散热方式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_Toc30281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_Toc9835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2.3 电气指标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_Toc9835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_Toc18836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2.4 使用环境及参数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_Toc18836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_Toc18720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三、 驱动器接口和接线介绍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_Toc18720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_Toc17489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3.1 接口示意图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_Toc17489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_Toc1643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 接口描述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_Toc1643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_Toc393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3.2.1 控制信号接口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_Toc393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_Toc30366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3.2.2 输出信号接口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_Toc30366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_Toc9217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3.2.3 刹车控制接口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_Toc9217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_Toc30243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3.2.4 编码器接口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_Toc30243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_Toc12370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3.2.5 电机控制输出接口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_Toc12370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_Toc29111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3.2.6 电源输入接口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_Toc29111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6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_Toc6306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3.2.7 烧录调试接口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_Toc6306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6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_Toc29123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3.2.8 状态指示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_Toc29123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6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_Toc3882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 输入控制信号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_Toc3882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7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_Toc17732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3.3.1 输入控制信号接口电路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_Toc17732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7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  <w:bookmarkStart w:id="89" w:name="_GoBack"/>
          <w:bookmarkEnd w:id="89"/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_Toc7667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3.3.2 控制信号时序图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_Toc7667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7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_Toc28956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3.3.3 控制信号模式设置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_Toc28956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_Toc13678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3.4 输出控制信号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_Toc13678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_Toc28356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3.4.1 AM接口作报警、到位输出使用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_Toc28356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_Toc12495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3.4.2 BK接口控制刹车电机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_Toc12495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_Toc23990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3.5 接线要求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_Toc23990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9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_Toc1629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四、 拨码开关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设定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_Toc1629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10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_Toc9482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4.1 细分设置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_Toc9482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10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_Toc19211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4.2方向设置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_Toc19211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_Toc12060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4.3报警极性设置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_Toc12060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_Toc11292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4.4算法选择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_Toc11292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_Toc30515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4.5平滑系数设置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_Toc30515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_Toc22174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五、 供电电源选择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_Toc22174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_Toc8571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 xml:space="preserve">六、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指示灯及报警指示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_Toc8571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_Toc17404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七、 保修及售后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_Toc17404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_Toc22491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7.1 保修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_Toc22491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_Toc23556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7.1.1 免费保修情况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_Toc23556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_Toc14955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7.1.2 不保修的情况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_Toc14955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_Toc8192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7.2 换货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_Toc8192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_Toc26769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7.2.1 产品故障换货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_Toc26769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_Toc28644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7.2.2 非产品故障换货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_Toc28644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_Toc4109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7.3 退货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_Toc4109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_Toc16794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7.4 售后服务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_Toc16794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_Toc6535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八、 版本修订历史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_Toc6535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both"/>
            <w:textAlignment w:val="auto"/>
            <w:rPr>
              <w:rFonts w:hint="default" w:ascii="Times New Roman" w:hAnsi="Times New Roman" w:eastAsia="微软雅黑" w:cs="Times New Roman"/>
              <w:b/>
              <w:bCs/>
              <w:kern w:val="44"/>
              <w:sz w:val="18"/>
              <w:szCs w:val="18"/>
              <w:highlight w:val="none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</w:sdtContent>
    </w:sdt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tabs>
          <w:tab w:val="center" w:pos="4150"/>
        </w:tabs>
        <w:bidi w:val="0"/>
        <w:jc w:val="left"/>
        <w:rPr>
          <w:rFonts w:hint="eastAsia" w:eastAsiaTheme="minorEastAsia"/>
          <w:lang w:eastAsia="zh-CN"/>
        </w:rPr>
        <w:sectPr>
          <w:head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ab/>
      </w:r>
    </w:p>
    <w:p>
      <w:pPr>
        <w:pStyle w:val="2"/>
        <w:numPr>
          <w:ilvl w:val="0"/>
          <w:numId w:val="1"/>
        </w:numPr>
        <w:bidi w:val="0"/>
        <w:rPr>
          <w:rFonts w:hint="default" w:ascii="Arial" w:hAnsi="Arial"/>
        </w:rPr>
      </w:pPr>
      <w:bookmarkStart w:id="8" w:name="_Toc6647"/>
      <w:r>
        <w:rPr>
          <w:rFonts w:hint="default" w:ascii="Arial" w:hAnsi="Arial"/>
        </w:rPr>
        <w:t>产品简介</w:t>
      </w:r>
      <w:bookmarkEnd w:id="8"/>
    </w:p>
    <w:p>
      <w:pPr>
        <w:pStyle w:val="3"/>
        <w:bidi w:val="0"/>
        <w:rPr>
          <w:rFonts w:hint="default"/>
          <w:lang w:val="en-US" w:eastAsia="zh-CN"/>
        </w:rPr>
      </w:pPr>
      <w:bookmarkStart w:id="9" w:name="_Toc19004"/>
      <w:r>
        <w:rPr>
          <w:rFonts w:hint="default"/>
          <w:lang w:val="en-US" w:eastAsia="zh-CN"/>
        </w:rPr>
        <w:t>1.1 产品概述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bookmarkStart w:id="10" w:name="OLE_LINK5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HS1-60-SC交直流</w:t>
      </w:r>
      <w:bookmarkEnd w:id="10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脉冲型闭环步进驱动器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格睿物联技术有限公司最</w:t>
      </w:r>
      <w:r>
        <w:rPr>
          <w:rFonts w:hint="eastAsia" w:ascii="微软雅黑" w:hAnsi="微软雅黑" w:eastAsia="微软雅黑" w:cs="微软雅黑"/>
          <w:sz w:val="18"/>
          <w:szCs w:val="18"/>
        </w:rPr>
        <w:t>新推出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的一款，采用最新专用电机控制数字信号处理器，是一种先进的运动控制设备，结合了传统的步进驱动器和闭环反馈系统的优势。它能够提供更高的精度、更大的扭矩输出以及更低的驱动噪声。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预留了刹车输出控制功能，在工作电压范围内，可稳定输出约DC24V电压，用户可直接接入刹车的电源线(注意区分正负)，中间不需要外接继电器等器件，可以极大地方便用户使用。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带串口调试功能，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通讯采用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MINI USB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接口</w:t>
      </w:r>
      <w:r>
        <w:rPr>
          <w:rFonts w:hint="eastAsia" w:ascii="微软雅黑" w:hAnsi="微软雅黑" w:eastAsia="微软雅黑" w:cs="微软雅黑"/>
          <w:sz w:val="18"/>
          <w:szCs w:val="18"/>
        </w:rPr>
        <w:t>，用户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可通过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PC端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上位机调试软件</w:t>
      </w:r>
      <w:r>
        <w:rPr>
          <w:rFonts w:hint="eastAsia" w:ascii="微软雅黑" w:hAnsi="微软雅黑" w:eastAsia="微软雅黑" w:cs="微软雅黑"/>
          <w:sz w:val="18"/>
          <w:szCs w:val="18"/>
        </w:rPr>
        <w:t>设置细分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、电流、工作模式等多种参数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极大地丰富了产品的实用功能，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11" w:name="_Toc21936"/>
      <w:r>
        <w:rPr>
          <w:rFonts w:hint="default"/>
          <w:lang w:val="en-US" w:eastAsia="zh-CN"/>
        </w:rPr>
        <w:t>1.2 产品特点</w:t>
      </w:r>
      <w:bookmarkEnd w:id="11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体积小，便于安装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预留了刹车输出控制接口，不需要继电器中间控制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●新一代32位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DSP</w:t>
      </w:r>
      <w:r>
        <w:rPr>
          <w:rFonts w:hint="eastAsia" w:ascii="微软雅黑" w:hAnsi="微软雅黑" w:eastAsia="微软雅黑" w:cs="微软雅黑"/>
          <w:sz w:val="18"/>
          <w:szCs w:val="18"/>
        </w:rPr>
        <w:t>技术，平稳性佳、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兼容性强、</w:t>
      </w:r>
      <w:r>
        <w:rPr>
          <w:rFonts w:hint="eastAsia" w:ascii="微软雅黑" w:hAnsi="微软雅黑" w:eastAsia="微软雅黑" w:cs="微软雅黑"/>
          <w:sz w:val="18"/>
          <w:szCs w:val="18"/>
        </w:rPr>
        <w:t>性价比高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  <w:t>外置拨码设置驱动器细分、初始方向、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val="en-US" w:eastAsia="zh-CN"/>
        </w:rPr>
        <w:t>报警极性、算法、平滑系数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，低速平稳性极佳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●脉冲响应频率最高可达200KHz（更高可改）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●细分设定范围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sz w:val="18"/>
          <w:szCs w:val="18"/>
        </w:rPr>
        <w:t>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60000(可通过上位机设置任意微细分)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大幅</w:t>
      </w:r>
      <w:r>
        <w:rPr>
          <w:rFonts w:hint="eastAsia" w:ascii="微软雅黑" w:hAnsi="微软雅黑" w:eastAsia="微软雅黑" w:cs="微软雅黑"/>
          <w:sz w:val="18"/>
          <w:szCs w:val="18"/>
        </w:rPr>
        <w:t>降低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●低振动低噪声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●具有过压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、超差</w:t>
      </w:r>
      <w:r>
        <w:rPr>
          <w:rFonts w:hint="eastAsia" w:ascii="微软雅黑" w:hAnsi="微软雅黑" w:eastAsia="微软雅黑" w:cs="微软雅黑"/>
          <w:sz w:val="18"/>
          <w:szCs w:val="18"/>
        </w:rPr>
        <w:t>等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报警</w:t>
      </w:r>
      <w:r>
        <w:rPr>
          <w:rFonts w:hint="eastAsia" w:ascii="微软雅黑" w:hAnsi="微软雅黑" w:eastAsia="微软雅黑" w:cs="微软雅黑"/>
          <w:sz w:val="18"/>
          <w:szCs w:val="18"/>
        </w:rPr>
        <w:t>保护功能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电压范围：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D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C 24V~70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/AC 18V~50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V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2" w:name="_Toc20924"/>
      <w:r>
        <w:rPr>
          <w:rFonts w:hint="eastAsia"/>
          <w:lang w:val="en-US" w:eastAsia="zh-CN"/>
        </w:rPr>
        <w:t>1.3 应用领域</w:t>
      </w:r>
      <w:bookmarkEnd w:id="12"/>
    </w:p>
    <w:p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13" w:name="_Toc26833"/>
      <w:r>
        <w:rPr>
          <w:rFonts w:hint="default"/>
        </w:rPr>
        <w:t>电气、机械和环境指标</w:t>
      </w:r>
      <w:bookmarkEnd w:id="13"/>
    </w:p>
    <w:p>
      <w:pPr>
        <w:pStyle w:val="3"/>
        <w:bidi w:val="0"/>
        <w:rPr>
          <w:rFonts w:hint="default"/>
          <w:lang w:val="en-US" w:eastAsia="zh-CN"/>
        </w:rPr>
      </w:pPr>
      <w:bookmarkStart w:id="14" w:name="_Toc3729"/>
      <w:r>
        <w:rPr>
          <w:rFonts w:hint="default"/>
          <w:lang w:val="en-US" w:eastAsia="zh-CN"/>
        </w:rPr>
        <w:t>2.1 机械安装图</w:t>
      </w:r>
      <w:bookmarkEnd w:id="14"/>
    </w:p>
    <w:p>
      <w:pPr>
        <w:spacing w:line="360" w:lineRule="auto"/>
        <w:ind w:left="843" w:hanging="540" w:hangingChars="300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5267325" cy="4876165"/>
            <wp:effectExtent l="0" t="0" r="0" b="0"/>
            <wp:docPr id="4" name="图片 4" descr="f8c064b5afdeaa4304d51f9038a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c064b5afdeaa4304d51f9038a4038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535" w:leftChars="255" w:firstLine="180" w:firstLineChars="100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侧面安装图 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正面安装图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微软雅黑" w:cs="Times New Roman"/>
          <w:sz w:val="18"/>
          <w:szCs w:val="18"/>
        </w:rPr>
        <w:t>1  安装尺寸图（单位：mm）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推荐采用侧面安装，散热效果更佳，在设计安装尺寸时，需考虑接线端子的大小及布线</w:t>
      </w:r>
    </w:p>
    <w:p>
      <w:pPr>
        <w:pStyle w:val="3"/>
        <w:bidi w:val="0"/>
        <w:rPr>
          <w:rFonts w:hint="default"/>
        </w:rPr>
      </w:pPr>
      <w:bookmarkStart w:id="15" w:name="_Toc15897_WPSOffice_Level2"/>
      <w:bookmarkStart w:id="16" w:name="_Toc30281"/>
      <w:r>
        <w:rPr>
          <w:rFonts w:hint="default"/>
          <w:lang w:val="en-US" w:eastAsia="zh-CN"/>
        </w:rPr>
        <w:t>2.2</w:t>
      </w:r>
      <w:r>
        <w:rPr>
          <w:rFonts w:hint="default"/>
        </w:rPr>
        <w:t>加强散热方式</w:t>
      </w:r>
      <w:bookmarkEnd w:id="15"/>
      <w:bookmarkEnd w:id="16"/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安装驱动器时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请采用侧面安装，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并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使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驱动器底面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形成较强的空气对流；必要时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机内靠近驱动器处安装风扇，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形成空气对流，辅助驱动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散热，保证驱动器在可靠工作温度范围内工作。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bookmarkStart w:id="17" w:name="_Toc9835"/>
      <w:r>
        <w:rPr>
          <w:rFonts w:hint="default"/>
          <w:lang w:val="en-US" w:eastAsia="zh-CN"/>
        </w:rPr>
        <w:t>2.3 电气指标</w:t>
      </w:r>
      <w:bookmarkEnd w:id="17"/>
    </w:p>
    <w:tbl>
      <w:tblPr>
        <w:tblStyle w:val="12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HS1-60-SC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典型值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最大值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直流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绝缘电阻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MΩ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18" w:name="_Toc18836"/>
      <w:r>
        <w:rPr>
          <w:rFonts w:hint="default"/>
          <w:lang w:val="en-US" w:eastAsia="zh-CN"/>
        </w:rPr>
        <w:t>2.4 使用环境及参数</w:t>
      </w:r>
      <w:bookmarkEnd w:id="18"/>
    </w:p>
    <w:tbl>
      <w:tblPr>
        <w:tblStyle w:val="12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冷却方式</w:t>
            </w:r>
          </w:p>
        </w:tc>
        <w:tc>
          <w:tcPr>
            <w:tcW w:w="504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自然冷却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使用环境</w:t>
            </w: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场合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振动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1" w:type="dxa"/>
            <w:gridSpan w:val="2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保存温度</w:t>
            </w:r>
          </w:p>
        </w:tc>
        <w:tc>
          <w:tcPr>
            <w:tcW w:w="5044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19" w:name="_Toc18720"/>
      <w:r>
        <w:rPr>
          <w:rFonts w:hint="default"/>
        </w:rPr>
        <w:t>驱动器接口和接线介绍</w:t>
      </w:r>
      <w:bookmarkEnd w:id="19"/>
    </w:p>
    <w:p>
      <w:pPr>
        <w:pStyle w:val="3"/>
        <w:bidi w:val="0"/>
        <w:rPr>
          <w:rFonts w:hint="default"/>
          <w:lang w:val="en-US" w:eastAsia="zh-CN"/>
        </w:rPr>
      </w:pPr>
      <w:bookmarkStart w:id="20" w:name="_Toc17489"/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-577850</wp:posOffset>
            </wp:positionV>
            <wp:extent cx="3280410" cy="4986655"/>
            <wp:effectExtent l="0" t="0" r="0" b="0"/>
            <wp:wrapNone/>
            <wp:docPr id="8" name="图片 8" descr="e34c071f1c00ec7001c2e6a3e66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34c071f1c00ec7001c2e6a3e66007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041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t>3.1 接口示意图</w:t>
      </w:r>
      <w:bookmarkEnd w:id="20"/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                 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接口示意图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21" w:name="_Toc1643"/>
      <w:r>
        <w:rPr>
          <w:rFonts w:hint="default"/>
          <w:lang w:val="en-US" w:eastAsia="zh-CN"/>
        </w:rPr>
        <w:t>3.2 接口描述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交直流脉冲型闭环步进驱动器的电源接口采用3.81-3P的接线端子，信号控制接口采用3.81-8P接线端子，编码器采用3.81-6P接线端子，电机接口采用3.81-4P接线端子。接口具体定义看以下几个小节的介绍。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22" w:name="_Toc393"/>
      <w:r>
        <w:rPr>
          <w:rFonts w:hint="default"/>
          <w:lang w:val="en-US" w:eastAsia="zh-CN"/>
        </w:rPr>
        <w:t>3.2.1 控制信号接口</w:t>
      </w:r>
      <w:bookmarkEnd w:id="22"/>
    </w:p>
    <w:tbl>
      <w:tblPr>
        <w:tblStyle w:val="1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80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脉冲控制信号：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+5V-+24V均可驱动，上升沿有效，每当脉冲由低变高时，电机走一微步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。为了可靠响应脉冲信号，脉冲宽度应大于2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方向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bookmarkStart w:id="23" w:name="OLE_LINK1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bookmarkEnd w:id="23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为保证电机可靠换向，方向信号应先于脉冲信号至少5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使能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用于使能或禁止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电机的运行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EN+接+5V，EN-接低电平时，驱动器将切断电机各相的电流使电机处于自由状态，此时步进脉冲不被响应。当不需用此功能时，使能信号端悬空即可。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另外，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EN端还可用于清除超差报警信号。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bookmarkStart w:id="24" w:name="_Toc30366"/>
      <w:r>
        <w:rPr>
          <w:rFonts w:hint="default"/>
          <w:lang w:val="en-US" w:eastAsia="zh-CN"/>
        </w:rPr>
        <w:t>3.2.2 输出信号接口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输出信号接口默认作为报警输出功能使用，当发生过压、位置超差报警时，输出信号有效。此外，输出接口也可通过PC端上位机软件设置为到位输出功能使用，用户可根据实际使用情况做相应设置。</w:t>
      </w:r>
    </w:p>
    <w:tbl>
      <w:tblPr>
        <w:tblStyle w:val="1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AM+</w:t>
            </w:r>
          </w:p>
        </w:tc>
        <w:tc>
          <w:tcPr>
            <w:tcW w:w="7800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报警信号输出：过压、</w:t>
            </w:r>
            <w:bookmarkStart w:id="25" w:name="OLE_LINK4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bookmarkEnd w:id="25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报警发生时，报警信号输出有效；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AM-</w:t>
            </w:r>
          </w:p>
        </w:tc>
        <w:tc>
          <w:tcPr>
            <w:tcW w:w="7800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bookmarkStart w:id="26" w:name="_Toc9217"/>
      <w:r>
        <w:rPr>
          <w:rFonts w:hint="default"/>
          <w:lang w:val="en-US" w:eastAsia="zh-CN"/>
        </w:rPr>
        <w:t>3.2.3 刹车控制接口</w:t>
      </w:r>
      <w:bookmarkEnd w:id="26"/>
    </w:p>
    <w:tbl>
      <w:tblPr>
        <w:tblStyle w:val="12"/>
        <w:tblW w:w="8611" w:type="dxa"/>
        <w:jc w:val="center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BK+</w:t>
            </w:r>
          </w:p>
        </w:tc>
        <w:tc>
          <w:tcPr>
            <w:tcW w:w="7800" w:type="dxa"/>
            <w:vMerge w:val="restart"/>
            <w:tcBorders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刹车控制信号输出：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当发生过压、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报警时，BK端口输出信号有效，控制刹车抱闸；</w:t>
            </w:r>
          </w:p>
        </w:tc>
      </w:tr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bottom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BK-</w:t>
            </w:r>
          </w:p>
        </w:tc>
        <w:tc>
          <w:tcPr>
            <w:tcW w:w="7800" w:type="dxa"/>
            <w:vMerge w:val="continue"/>
            <w:tcBorders>
              <w:bottom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bookmarkStart w:id="27" w:name="_Toc30243"/>
      <w:r>
        <w:rPr>
          <w:rFonts w:hint="default"/>
          <w:lang w:val="en-US" w:eastAsia="zh-CN"/>
        </w:rPr>
        <w:t>3.2.4 编码器接口</w:t>
      </w:r>
      <w:bookmarkEnd w:id="27"/>
    </w:p>
    <w:tbl>
      <w:tblPr>
        <w:tblStyle w:val="1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380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7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B相输入接口，需注意线序。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VCC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5V供电电源正端。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GND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5V供电电源负端。</w:t>
            </w: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28" w:name="_Toc12370"/>
      <w:r>
        <w:rPr>
          <w:rFonts w:hint="eastAsia"/>
          <w:lang w:val="en-US" w:eastAsia="zh-CN"/>
        </w:rPr>
        <w:t>3.2.5 电机控制输出接口</w:t>
      </w:r>
      <w:bookmarkEnd w:id="28"/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70"/>
        <w:gridCol w:w="1289"/>
        <w:gridCol w:w="1399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8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28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颜色</w:t>
            </w:r>
          </w:p>
        </w:tc>
        <w:tc>
          <w:tcPr>
            <w:tcW w:w="1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419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Motor</w:t>
            </w: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红</w:t>
            </w:r>
          </w:p>
        </w:tc>
        <w:tc>
          <w:tcPr>
            <w:tcW w:w="1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  <w:t>电机接口</w:t>
            </w:r>
          </w:p>
        </w:tc>
        <w:tc>
          <w:tcPr>
            <w:tcW w:w="4193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两相步进电机接线口，需注意线序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绿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黑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29" w:name="_Toc29111"/>
      <w:r>
        <w:rPr>
          <w:rFonts w:hint="eastAsia"/>
          <w:lang w:val="en-US" w:eastAsia="zh-CN"/>
        </w:rPr>
        <w:t>3.2.6 电源输入接口</w:t>
      </w:r>
      <w:bookmarkEnd w:id="29"/>
    </w:p>
    <w:tbl>
      <w:tblPr>
        <w:tblStyle w:val="12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45"/>
        <w:gridCol w:w="1915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17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1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3492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tabs>
                <w:tab w:val="left" w:pos="88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26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Power</w:t>
            </w: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/AC1</w:t>
            </w:r>
          </w:p>
        </w:tc>
        <w:tc>
          <w:tcPr>
            <w:tcW w:w="1915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接口</w:t>
            </w:r>
          </w:p>
        </w:tc>
        <w:tc>
          <w:tcPr>
            <w:tcW w:w="3492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电源输入</w:t>
            </w:r>
          </w:p>
          <w:p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C2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V~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/AC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V~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V-/AC2</w:t>
            </w:r>
          </w:p>
        </w:tc>
        <w:tc>
          <w:tcPr>
            <w:tcW w:w="1915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92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30" w:name="_Toc6306"/>
      <w:r>
        <w:rPr>
          <w:rFonts w:hint="eastAsia"/>
          <w:lang w:val="en-US" w:eastAsia="zh-CN"/>
        </w:rPr>
        <w:t>3.2.7 烧录调试接口</w:t>
      </w:r>
      <w:bookmarkEnd w:id="30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驱动的串口通讯接口采用MINI USB接口，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可以通过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本公司提供的专用调试线经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USB转TTL串口转换工具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连接至</w:t>
      </w:r>
      <w:r>
        <w:rPr>
          <w:rFonts w:hint="default" w:ascii="Times New Roman" w:hAnsi="Times New Roman" w:eastAsia="微软雅黑" w:cs="Times New Roman"/>
          <w:sz w:val="18"/>
          <w:szCs w:val="18"/>
        </w:rPr>
        <w:t>PC机，禁止带电插拔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！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通过在PC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端，客户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所需要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的参数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tbl>
      <w:tblPr>
        <w:tblStyle w:val="12"/>
        <w:tblW w:w="7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05"/>
        <w:gridCol w:w="2817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端子号</w:t>
            </w:r>
          </w:p>
        </w:tc>
        <w:tc>
          <w:tcPr>
            <w:tcW w:w="130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符号</w:t>
            </w:r>
          </w:p>
        </w:tc>
        <w:tc>
          <w:tcPr>
            <w:tcW w:w="2817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82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串口通讯地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31" w:name="OLE_LINK3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bookmarkEnd w:id="31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发送端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  <w:r>
        <w:rPr>
          <w:rFonts w:hint="eastAsia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与PC机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连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接的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调试线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为专用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（视用户情况附送）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使用前确认，以免发生损坏。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32" w:name="_Toc29123"/>
      <w:r>
        <w:rPr>
          <w:rFonts w:hint="eastAsia"/>
          <w:lang w:val="en-US" w:eastAsia="zh-CN"/>
        </w:rPr>
        <w:t>3.2.8 状态指示</w:t>
      </w:r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交直流脉冲型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的指示灯为内缩式贴片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LED，其基本定义如下表所示。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8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绿色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、保存参数功能指示、恢复出厂设置功能指示、拨码状态切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报警指示灯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通电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正常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灯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亮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红灯熄灭。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保存参数、恢复出厂设置、拨码状态发生切换、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设备发生异常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红绿灯交替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闪烁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，其闪烁规律查看第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章节；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33" w:name="_Toc3882"/>
      <w:r>
        <w:rPr>
          <w:rFonts w:hint="default"/>
          <w:lang w:val="en-US" w:eastAsia="zh-CN"/>
        </w:rPr>
        <w:t>3.3 输入控制信号</w:t>
      </w:r>
      <w:bookmarkEnd w:id="33"/>
    </w:p>
    <w:p>
      <w:pPr>
        <w:pStyle w:val="4"/>
        <w:bidi w:val="0"/>
        <w:rPr>
          <w:rFonts w:hint="default"/>
          <w:lang w:val="en-US" w:eastAsia="zh-CN"/>
        </w:rPr>
      </w:pPr>
      <w:bookmarkStart w:id="34" w:name="_Toc17732"/>
      <w:r>
        <w:rPr>
          <w:rFonts w:hint="default"/>
          <w:lang w:val="en-US" w:eastAsia="zh-CN"/>
        </w:rPr>
        <w:t>3.3.1 输入控制信号接口电路</w:t>
      </w:r>
      <w:bookmarkEnd w:id="34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控制信号端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差分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式接口电路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可适用差分信号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2226945" cy="2520315"/>
            <wp:effectExtent l="0" t="0" r="1905" b="13335"/>
            <wp:docPr id="1" name="图片 1" descr="fad20112c0e0ce203e95bf286bb0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d20112c0e0ce203e95bf286bb03d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752" t="2351" r="4432" b="2135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2285365" cy="2520315"/>
            <wp:effectExtent l="0" t="0" r="0" b="13335"/>
            <wp:docPr id="3" name="图片 3" descr="2905e5760ef2e6aabafdaa932c37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5e5760ef2e6aabafdaa932c370d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378" t="2637" r="4261" b="2564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eastAsia="微软雅黑" w:cs="Times New Roman"/>
          <w:sz w:val="18"/>
          <w:szCs w:val="18"/>
        </w:rPr>
        <w:t>2  输入接口电路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：</w:t>
      </w:r>
      <w:r>
        <w:rPr>
          <w:rFonts w:hint="eastAsia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35" w:name="_Toc7667"/>
      <w:r>
        <w:rPr>
          <w:rFonts w:hint="default"/>
          <w:lang w:val="en-US" w:eastAsia="zh-CN"/>
        </w:rPr>
        <w:t>3.3.2 控制信号时序图</w:t>
      </w:r>
      <w:bookmarkEnd w:id="35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为了避免一些误动作和偏差，P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、DR和EN应满足一定要求，如下图所示：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4586605" cy="2345690"/>
            <wp:effectExtent l="0" t="0" r="0" b="16510"/>
            <wp:docPr id="5" name="图片 5" descr="ISS57、42控制信号时序图2(修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SS57、42控制信号时序图2(修正)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4718" b="3145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3.3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控制信号时序图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t1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EN（使能信号）应提前DR至少5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微软雅黑" w:cs="Times New Roman"/>
          <w:sz w:val="18"/>
          <w:szCs w:val="18"/>
        </w:rPr>
        <w:t>s，确定为高。一般情况下建议EN+和EN-悬空即可。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t2：DR至少提前P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下降沿5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微软雅黑" w:cs="Times New Roman"/>
          <w:sz w:val="18"/>
          <w:szCs w:val="18"/>
        </w:rPr>
        <w:t>μs确定其状态高或低。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t3：脉冲宽度至少不小于2.5μs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t4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低电平宽度不小于2.5μs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36" w:name="_Toc28956"/>
      <w:r>
        <w:rPr>
          <w:rFonts w:hint="default"/>
          <w:lang w:val="en-US" w:eastAsia="zh-CN"/>
        </w:rPr>
        <w:t>3.3.3 控制信号模式设置</w:t>
      </w:r>
      <w:bookmarkEnd w:id="36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脉冲触发沿选择：通过PC机软件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设置脉冲上升沿或下降沿触发有效。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37" w:name="_Toc13678"/>
      <w:r>
        <w:rPr>
          <w:rFonts w:hint="default"/>
          <w:lang w:val="en-US" w:eastAsia="zh-CN"/>
        </w:rPr>
        <w:t>3.4 输出控制信号</w:t>
      </w:r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驱动器正常通电后，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用户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PC端上位机软件</w:t>
      </w:r>
      <w:r>
        <w:rPr>
          <w:rFonts w:hint="default" w:ascii="Times New Roman" w:hAnsi="Times New Roman" w:eastAsia="微软雅黑" w:cs="Times New Roman"/>
          <w:sz w:val="18"/>
          <w:szCs w:val="18"/>
        </w:rPr>
        <w:t>配置输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出接口的有效状态默认为常闭输出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38" w:name="_Toc22809"/>
      <w:bookmarkStart w:id="39" w:name="_Toc28356"/>
      <w:r>
        <w:rPr>
          <w:rFonts w:hint="default"/>
          <w:lang w:val="en-US" w:eastAsia="zh-CN"/>
        </w:rPr>
        <w:t>3.4.1 AM接口作报警、到位输出使用</w:t>
      </w:r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下图为输出信号端口作为报警输出功能使用时的接线示意图(作到位输出使用时接法与此一致)：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3689350" cy="1800225"/>
            <wp:effectExtent l="0" t="0" r="0" b="0"/>
            <wp:docPr id="6" name="图片 6" descr="85c90095f9123711c4e06e7131b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c90095f9123711c4e06e7131b2416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680" t="8402" b="13267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3.4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常闭接法示意图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4316095" cy="1800225"/>
            <wp:effectExtent l="0" t="0" r="0" b="8890"/>
            <wp:docPr id="7" name="图片 7" descr="fec15ca1052da5f289dc239c451f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c15ca1052da5f289dc239c451f4fe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185" t="4778" r="1987" b="25383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3.5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常开接法示意图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40" w:name="_Toc12495"/>
      <w:bookmarkStart w:id="41" w:name="_Toc31478"/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 xml:space="preserve">3.4.2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BK接口控制刹车电机</w:t>
      </w:r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交直流脉冲式闭环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的输出口包含对刹车电机抱闸器的控制功能，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可直接控制刹车的抱闸和松闸。下图为其示意图：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3210560" cy="187706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3.6 刹车电机抱闸器接线示意图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color w:val="0000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具体控制流程为：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当给驱动器供电后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出接口的有效状态初始默认为常开输出，此时，刹车处于抱闸状态，当驱动器上电稳定，且电机正常锁轴后，切换为常闭状态，控制刹车松闸，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若驱动器产生了过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压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超差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报警，则控制刹车再次抱闸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42" w:name="_Toc23990"/>
      <w:r>
        <w:rPr>
          <w:rFonts w:hint="eastAsia"/>
          <w:lang w:val="en-US" w:eastAsia="zh-CN"/>
        </w:rPr>
        <w:t>3.5 接线要求</w:t>
      </w:r>
      <w:bookmarkEnd w:id="42"/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严禁带电拔插驱动器强电端子，带电的电机停止时仍有大电流流过线圈，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接线线头不能裸露在端子外，以防意外短路而损坏驱动器。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43" w:name="_Toc1629"/>
      <w:r>
        <w:rPr>
          <w:rFonts w:hint="default"/>
        </w:rPr>
        <w:t>拨码开关</w:t>
      </w:r>
      <w:r>
        <w:rPr>
          <w:rFonts w:hint="default"/>
          <w:lang w:eastAsia="zh-CN"/>
        </w:rPr>
        <w:t>功能</w:t>
      </w:r>
      <w:r>
        <w:rPr>
          <w:rFonts w:hint="default"/>
        </w:rPr>
        <w:t>设定</w:t>
      </w:r>
      <w:bookmarkEnd w:id="43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8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位拨码开关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对驱动器和电机进行控制。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详细描述如下：</w:t>
      </w:r>
    </w:p>
    <w:tbl>
      <w:tblPr>
        <w:tblStyle w:val="12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8"/>
        <w:gridCol w:w="7"/>
        <w:gridCol w:w="1059"/>
        <w:gridCol w:w="7"/>
        <w:gridCol w:w="1071"/>
        <w:gridCol w:w="1071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623" w:type="pct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623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623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624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623" w:type="pct"/>
            <w:gridSpan w:val="2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629" w:type="pct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626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626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497" w:type="pct"/>
            <w:gridSpan w:val="5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  <w:tc>
          <w:tcPr>
            <w:tcW w:w="623" w:type="pct"/>
            <w:gridSpan w:val="2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方向</w:t>
            </w:r>
          </w:p>
        </w:tc>
        <w:tc>
          <w:tcPr>
            <w:tcW w:w="626" w:type="pct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报警极性</w:t>
            </w:r>
          </w:p>
        </w:tc>
        <w:tc>
          <w:tcPr>
            <w:tcW w:w="626" w:type="pct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算法选择</w:t>
            </w:r>
          </w:p>
        </w:tc>
        <w:tc>
          <w:tcPr>
            <w:tcW w:w="626" w:type="pct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平滑系数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44" w:name="_Toc9482"/>
      <w:r>
        <w:rPr>
          <w:rFonts w:hint="default"/>
          <w:lang w:val="en-US" w:eastAsia="zh-CN"/>
        </w:rPr>
        <w:t>4.1 细分设置</w:t>
      </w:r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SW1-SW4设置驱动器的细分，共16档细分可设定，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拨码对应默认细分设置，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如下表所示：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也可通过PC端软件设置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任意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细分大小</w:t>
      </w:r>
      <w:r>
        <w:rPr>
          <w:rFonts w:hint="default" w:ascii="Times New Roman" w:hAnsi="Times New Roman" w:eastAsia="微软雅黑" w:cs="Times New Roman"/>
          <w:b w:val="0"/>
          <w:bCs w:val="0"/>
          <w:color w:val="0000FF"/>
          <w:sz w:val="18"/>
          <w:szCs w:val="18"/>
          <w:lang w:val="en-US" w:eastAsia="zh-CN"/>
        </w:rPr>
        <w:t>。</w:t>
      </w:r>
    </w:p>
    <w:tbl>
      <w:tblPr>
        <w:tblStyle w:val="1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步数/转</w:t>
            </w:r>
          </w:p>
        </w:tc>
        <w:tc>
          <w:tcPr>
            <w:tcW w:w="76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1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SW1-SW4全off状态下，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用户可通过PC端软件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设置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细分的大小，设定范围200-60000，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7200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bookmarkStart w:id="45" w:name="_Toc19211"/>
      <w:r>
        <w:rPr>
          <w:rFonts w:hint="eastAsia"/>
          <w:lang w:val="en-US" w:eastAsia="zh-CN"/>
        </w:rPr>
        <w:t>4.2</w:t>
      </w:r>
      <w:r>
        <w:rPr>
          <w:rFonts w:hint="default"/>
          <w:lang w:val="en-US" w:eastAsia="zh-CN"/>
        </w:rPr>
        <w:t>方向设置</w:t>
      </w:r>
      <w:bookmarkEnd w:id="4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设置电机的初始旋转方向，SW5=off时，为正方向旋转；SW5=on时，为反方向旋转。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▶注意：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方向设置拨码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修改后，需重新上电才能生效。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6" w:name="_Toc12060"/>
      <w:r>
        <w:rPr>
          <w:rFonts w:hint="default"/>
          <w:lang w:val="en-US" w:eastAsia="zh-CN"/>
        </w:rPr>
        <w:t>4.3报警极性设置</w:t>
      </w:r>
      <w:bookmarkEnd w:id="4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SW6设置报警的默认输出信号阻态，SW6=off时，为常开状态；SW6=on时，为常闭状态。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7" w:name="_Toc11292"/>
      <w:r>
        <w:rPr>
          <w:rFonts w:hint="default"/>
          <w:lang w:val="en-US" w:eastAsia="zh-CN"/>
        </w:rPr>
        <w:t>4.4算法选择</w:t>
      </w:r>
      <w:bookmarkEnd w:id="47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SW7用于选择驱动器的控制算法，SW7=off时，为A算法；SW7=on时，为B算法。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8" w:name="_Toc30515"/>
      <w:r>
        <w:rPr>
          <w:rFonts w:hint="default"/>
          <w:lang w:val="en-US" w:eastAsia="zh-CN"/>
        </w:rPr>
        <w:t>4.5平滑系数设置</w:t>
      </w:r>
      <w:bookmarkEnd w:id="48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SW8用于选择平滑系数，SW8=off时，为平滑系数1；SW8=on时，为平滑系数2。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49" w:name="_Toc22174"/>
      <w:r>
        <w:rPr>
          <w:rFonts w:hint="default"/>
          <w:lang w:val="en-US" w:eastAsia="zh-CN"/>
        </w:rPr>
        <w:t>供电电源选择</w:t>
      </w:r>
      <w:bookmarkEnd w:id="49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电源电压在规定范围之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都可以正常工作，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可采用变压器供电，建议变压器的交流输出电压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采用非稳压型直流电源供电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但注意应使整流后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电压纹波峰值不超过其规定的最大电压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建议用户使用低于最大电压的直流电压供电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，避免电网波动超过驱动器的工作电压范围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最好用非稳压型电源；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采用非稳压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50" w:name="_Toc8571"/>
      <w:r>
        <w:rPr>
          <w:rFonts w:hint="default"/>
          <w:lang w:val="en-US" w:eastAsia="zh-CN"/>
        </w:rPr>
        <w:t>指示灯及报警指示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HS1-60-SC交直流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有一个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绿色LED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灯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和红色LED灯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，其一可作为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电源指示灯，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其二可作为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故障指示灯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、拨码状态切换指示、保存或恢复参数指示灯，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具体关系如下表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所示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当驱动器接通电源时，绿色LED常亮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当驱动器切断电源时，绿色LED熄灭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当拨动拨码开关时，绿色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LED会快速闪烁2次，此为正常现象，表示拨码状态切换有效。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出现故障时，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红绿灯交替循环闪烁，其不同的闪烁规律指示不同的故障信息。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当故障被用户消除时，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LED保持常亮，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当保存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/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恢复参数时，红绿灯交替循环闪烁，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保存/恢复参数完成时，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状态指示</w:t>
      </w:r>
    </w:p>
    <w:tbl>
      <w:tblPr>
        <w:tblStyle w:val="1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34"/>
        <w:gridCol w:w="2900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80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LED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闪烁次数</w:t>
            </w:r>
          </w:p>
        </w:tc>
        <w:tc>
          <w:tcPr>
            <w:tcW w:w="29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现象</w:t>
            </w:r>
          </w:p>
        </w:tc>
        <w:tc>
          <w:tcPr>
            <w:tcW w:w="313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绿色LED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红色LED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绿灯闪烁完，红灯闪烁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绿灯常亮，红灯熄灭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驱动器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接收到脉冲信号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0" o:spid="_x0000_s2060" o:spt="203" style="position:absolute;left:0pt;margin-left:-1.6pt;margin-top:4.85pt;height:14.1pt;width:29.85pt;z-index:251663360;mso-width-relative:page;mso-height-relative:page;" coordorigin="4657,966340" coordsize="597,282">
                  <o:lock v:ext="edit" aspectratio="f"/>
                  <v:shape id="_x0000_s2061" o:spid="_x0000_s2061" o:spt="120" type="#_x0000_t120" style="position:absolute;left:4657;top:966340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2" o:spid="_x0000_s2062" o:spt="120" type="#_x0000_t120" style="position:absolute;left:4968;top:966340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正常超差报警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3" o:spid="_x0000_s2063" o:spt="203" style="position:absolute;left:0pt;margin-left:-1.6pt;margin-top:5.55pt;height:14.1pt;width:45.4pt;z-index:251660288;mso-width-relative:page;mso-height-relative:page;" coordorigin="4657,966872" coordsize="908,282">
                  <o:lock v:ext="edit" aspectratio="f"/>
                  <v:shape id="_x0000_s2064" o:spid="_x0000_s2064" o:spt="120" type="#_x0000_t120" style="position:absolute;left:4657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5" o:spid="_x0000_s2065" o:spt="120" type="#_x0000_t120" style="position:absolute;left:4968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6" o:spid="_x0000_s2066" o:spt="120" type="#_x0000_t120" style="position:absolute;left:5279;top:966872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未使能状态接收到脉冲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7" o:spid="_x0000_s2067" o:spt="203" style="position:absolute;left:0pt;margin-left:-1.6pt;margin-top:5.7pt;height:14.1pt;width:60.95pt;z-index:251662336;mso-width-relative:page;mso-height-relative:page;" coordorigin="5928,967393" coordsize="1219,282">
                  <o:lock v:ext="edit" aspectratio="f"/>
                  <v:shape id="_x0000_s2068" o:spid="_x0000_s2068" o:spt="120" type="#_x0000_t120" style="position:absolute;left:5928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9" o:spid="_x0000_s2069" o:spt="120" type="#_x0000_t120" style="position:absolute;left:6239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0" o:spid="_x0000_s2070" o:spt="120" type="#_x0000_t120" style="position:absolute;left:6550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1" o:spid="_x0000_s2071" o:spt="120" type="#_x0000_t120" style="position:absolute;left:6861;top:96739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>
                          <w:pPr>
                            <w:rPr>
                              <w:color w:val="00B05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(过压)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78" o:spid="_x0000_s2078" o:spt="203" style="position:absolute;left:0pt;margin-left:-1.6pt;margin-top:6.15pt;height:14.1pt;width:76.5pt;z-index:251661312;mso-width-relative:page;mso-height-relative:page;" coordorigin="4657,968438" coordsize="1530,282">
                  <o:lock v:ext="edit" aspectratio="f"/>
                  <v:shape id="_x0000_s2079" o:spid="_x0000_s2079" o:spt="120" type="#_x0000_t120" style="position:absolute;left:5901;top:968438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080" o:spid="_x0000_s2080" o:spt="120" type="#_x0000_t120" style="position:absolute;left:4657;top:968438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1" o:spid="_x0000_s2081" o:spt="120" type="#_x0000_t120" style="position:absolute;left:4968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2" o:spid="_x0000_s2082" o:spt="120" type="#_x0000_t120" style="position:absolute;left:5279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3" o:spid="_x0000_s2083" o:spt="120" type="#_x0000_t120" style="position:absolute;left:5590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过压报警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135" o:spid="_x0000_s2135" o:spt="203" style="position:absolute;left:0pt;margin-left:-1.6pt;margin-top:4.8pt;height:14.1pt;width:45.4pt;z-index:251664384;mso-width-relative:page;mso-height-relative:page;" coordorigin="4657,972037" coordsize="908,282">
                  <o:lock v:ext="edit" aspectratio="f"/>
                  <v:shape id="_x0000_s2136" o:spid="_x0000_s2136" o:spt="120" type="#_x0000_t120" style="position:absolute;left:4657;top:97203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7" o:spid="_x0000_s2137" o:spt="120" type="#_x0000_t120" style="position:absolute;left:4968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8" o:spid="_x0000_s2138" o:spt="120" type="#_x0000_t120" style="position:absolute;left:5279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恢复参数进程中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139" o:spid="_x0000_s2139" o:spt="203" style="position:absolute;left:0pt;margin-left:-0.25pt;margin-top:5.3pt;height:14.1pt;width:60.95pt;z-index:251659264;mso-width-relative:page;mso-height-relative:page;" coordorigin="4684,972565" coordsize="1219,282">
                  <o:lock v:ext="edit" aspectratio="f"/>
                  <v:shape id="_x0000_s2140" o:spid="_x0000_s2140" o:spt="120" type="#_x0000_t120" style="position:absolute;left:4684;top:972565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1" o:spid="_x0000_s2141" o:spt="120" type="#_x0000_t120" style="position:absolute;left:4995;top:972565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2" o:spid="_x0000_s2142" o:spt="120" type="#_x0000_t120" style="position:absolute;left:5306;top:972565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3" o:spid="_x0000_s2143" o:spt="120" type="#_x0000_t120" style="position:absolute;left:5617;top:972565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保存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参数进程中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51" w:name="_Toc8488"/>
      <w:bookmarkStart w:id="52" w:name="_Toc383"/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53" w:name="_Toc17404"/>
      <w:r>
        <w:rPr>
          <w:rFonts w:hint="default"/>
          <w:lang w:val="en-US" w:eastAsia="zh-CN"/>
        </w:rPr>
        <w:t>保修及售后</w:t>
      </w:r>
      <w:bookmarkEnd w:id="51"/>
      <w:bookmarkEnd w:id="52"/>
      <w:bookmarkEnd w:id="53"/>
    </w:p>
    <w:p>
      <w:pPr>
        <w:pStyle w:val="3"/>
        <w:bidi w:val="0"/>
        <w:rPr>
          <w:rFonts w:hint="default"/>
          <w:lang w:val="en-US" w:eastAsia="zh-CN"/>
        </w:rPr>
      </w:pPr>
      <w:bookmarkStart w:id="54" w:name="_Toc22491"/>
      <w:bookmarkStart w:id="55" w:name="_Toc1965"/>
      <w:bookmarkStart w:id="56" w:name="_Toc31635"/>
      <w:r>
        <w:rPr>
          <w:rFonts w:hint="default"/>
          <w:lang w:val="en-US" w:eastAsia="zh-CN"/>
        </w:rPr>
        <w:t>7.1 保修</w:t>
      </w:r>
      <w:bookmarkEnd w:id="54"/>
      <w:bookmarkEnd w:id="55"/>
      <w:bookmarkEnd w:id="56"/>
      <w:r>
        <w:rPr>
          <w:rFonts w:hint="default"/>
          <w:lang w:val="en-US" w:eastAsia="zh-CN"/>
        </w:rPr>
        <w:t xml:space="preserve"> </w:t>
      </w:r>
    </w:p>
    <w:p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57" w:name="_Toc4175"/>
      <w:bookmarkStart w:id="58" w:name="_Toc13392"/>
      <w:bookmarkStart w:id="59" w:name="_Toc23556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7.1.1 免费保修情况</w:t>
      </w:r>
      <w:bookmarkEnd w:id="57"/>
      <w:bookmarkEnd w:id="58"/>
      <w:bookmarkEnd w:id="5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本公司郑重承诺，凡是购买本公司的所有产品，若在使用过程中因产品自身原因造成损坏的，均提供一年免费维修服务。产品的来回运费由双方各承担一半。 </w:t>
      </w:r>
    </w:p>
    <w:p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0" w:name="_Toc16639"/>
      <w:bookmarkStart w:id="61" w:name="_Toc25251"/>
      <w:bookmarkStart w:id="62" w:name="_Toc14955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7.1.2 不保修的情况</w:t>
      </w:r>
      <w:bookmarkEnd w:id="60"/>
      <w:bookmarkEnd w:id="61"/>
      <w:bookmarkEnd w:id="62"/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因客户自身接线错误导致驱动器损坏的；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超出额定工作电压导致驱动器损坏的；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直流供电驱动接入交流电源导致驱动器损坏的；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因客户现场环境极其恶劣，如潮湿、极冷、极热等恶劣环境因素，而没有提前告知本公司，导致驱动器损坏的；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客户私自拆卸驱动器外壳或序列标签号有被撕下的痕迹；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在客户确认收货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15天后，外壳被明显破坏、撞击，导致驱动器损坏的；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不可抗拒的自然灾害，如火灾、地震、海啸、台风等因素；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以上几种情况，本公司在评估各方利害之后，会收取一定的维修成本费，其余情况均永久免费维修。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63" w:name="_Toc11707"/>
      <w:bookmarkStart w:id="64" w:name="_Toc8192"/>
      <w:bookmarkStart w:id="65" w:name="_Toc2461"/>
      <w:r>
        <w:rPr>
          <w:rFonts w:hint="default"/>
          <w:lang w:val="en-US" w:eastAsia="zh-CN"/>
        </w:rPr>
        <w:t>7.2 换货</w:t>
      </w:r>
      <w:bookmarkEnd w:id="63"/>
      <w:bookmarkEnd w:id="64"/>
      <w:bookmarkEnd w:id="65"/>
    </w:p>
    <w:p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6" w:name="_Toc12400"/>
      <w:bookmarkStart w:id="67" w:name="_Toc26769"/>
      <w:bookmarkStart w:id="68" w:name="_Toc27430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7.2.1 产品故障换货</w:t>
      </w:r>
      <w:bookmarkEnd w:id="66"/>
      <w:bookmarkEnd w:id="67"/>
      <w:bookmarkEnd w:id="6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对于新产品本身出现的故障，本公司提供三个月的免费换货服务。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在我们的技术支持人员确认为产品本身问题后，再将产品寄回本公司，以免往返上的时间与邮资耗损。客户需先将故障产品以快递或物流的方式寄回，本公司收到后会第一时间将另一新品寄回给客户。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i w:val="0"/>
          <w:iCs w:val="0"/>
          <w:kern w:val="2"/>
          <w:sz w:val="18"/>
          <w:szCs w:val="18"/>
          <w:highlight w:val="none"/>
          <w:lang w:val="en-US" w:eastAsia="zh-CN" w:bidi="ar-SA"/>
        </w:rPr>
        <w:t>注意：</w:t>
      </w: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本公司的所有产品在出库前均经过严格的测试、老化，因此新品出现故障的情况极其少见，请操作时务必详阅说明书或咨询我们的技术支持人员，或由我们的技术支持人员远程协助客户进行操作。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换货时须注意以下几点：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（1）寄回时包装请务必完善，避免运送时造成损毁；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（2）换货时请确保所附配件完整；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（3）每个驱动器应独立用原有外盒包装，避免运输过程中对产品造成二次损伤；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4）若驱动器寄回后经检测确认并非产品故障，而是客户本身操作疏忽，误以为是驱动器故障的，则本公司不承担运费（客户本身操作疏忽包括：接错线导致驱动器毁损、接线不良误以为驱动器是损坏的、操作错误导致驱动器无法正常使用的等等）。 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bookmarkStart w:id="69" w:name="_Toc5088"/>
      <w:bookmarkStart w:id="70" w:name="_Toc28644"/>
      <w:bookmarkStart w:id="71" w:name="_Toc26623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7.2.2 非产品故障换货</w:t>
      </w:r>
      <w:bookmarkEnd w:id="69"/>
      <w:bookmarkEnd w:id="70"/>
      <w:bookmarkEnd w:id="7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如果客户对收到的产品外观或功能不满意，想更换更优越的驱动器，则可以在收到产品一周之内向本公司申请换货服务。本公司经核实后，再将产品返回，公司在确认已返回产品外观无损坏、配件齐全、包装良好的条件下，为客户更换其他产品。对于更换的产品，若其间有差价，则差价部分由客户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注意：更换后的产品将不再享受非产品故障换货服务。非产品故障换货服务产生的来回运费及其它费用均由客户承担！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2" w:name="_Toc4109"/>
      <w:bookmarkStart w:id="73" w:name="_Toc24218"/>
      <w:bookmarkStart w:id="74" w:name="_Toc5132"/>
      <w:r>
        <w:rPr>
          <w:rFonts w:hint="default"/>
          <w:lang w:val="en-US" w:eastAsia="zh-CN"/>
        </w:rPr>
        <w:t>7.3 退货</w:t>
      </w:r>
      <w:bookmarkEnd w:id="72"/>
      <w:bookmarkEnd w:id="73"/>
      <w:bookmarkEnd w:id="7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对有质量问题的产品提供7天退货服务，如在收到本产品7日内（以客户实际签收日为准）发现产品本身质量问题，请及时跟我们的业务员或技术支持人员沟通，经本公司技术支持人员确认为公司产品本身质量问题后，客户再将原完整商品及其内外包装、附配件及出货单以快递或物流的方式寄回本公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若经本公司检查并确认无误后，客户仍执意退货，则来回运费以及由此产生的其它一切费用均由客户自行承担。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退货时须注意以下几点：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（1）退款方式请与本公司相关部门取得联系后再实施退款；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（2）产品必须是全新状态且包装完整，请以快递或物流的方式寄回本公司；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（3）产品外观损毁、所附配件不齐全等由客户造成的问题恕不受理；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5" w:name="_Toc15748"/>
      <w:bookmarkStart w:id="76" w:name="_Toc19973"/>
      <w:bookmarkStart w:id="77" w:name="_Toc16794"/>
      <w:r>
        <w:rPr>
          <w:rFonts w:hint="default"/>
          <w:lang w:val="en-US" w:eastAsia="zh-CN"/>
        </w:rPr>
        <w:t>7.4 售后服务</w:t>
      </w:r>
      <w:bookmarkEnd w:id="75"/>
      <w:bookmarkEnd w:id="76"/>
      <w:bookmarkEnd w:id="7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若您在使用本产品时，需要产品售后服务支持，可第一时间与本公司取得联系。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全国免费服务热线：0755-23206995；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技术专员服务热线：18576758897(谢先生)、17666115681(拓先生)；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服务时间：周一至周五8：30-17：30（国家法定节假日除外）。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78" w:name="_Toc7862"/>
      <w:bookmarkStart w:id="79" w:name="_Toc6535"/>
      <w:bookmarkStart w:id="80" w:name="_Toc7713"/>
      <w:bookmarkStart w:id="81" w:name="_Toc1747"/>
      <w:bookmarkStart w:id="82" w:name="_Toc14881"/>
      <w:bookmarkStart w:id="83" w:name="_Toc1856"/>
      <w:bookmarkStart w:id="84" w:name="_Toc2762"/>
      <w:bookmarkStart w:id="85" w:name="_Toc11995"/>
      <w:bookmarkStart w:id="86" w:name="_Toc22724"/>
      <w:bookmarkStart w:id="87" w:name="_Toc30210"/>
      <w:bookmarkStart w:id="88" w:name="_Toc22063_WPSOffice_Level1"/>
      <w:r>
        <w:rPr>
          <w:rFonts w:hint="default"/>
          <w:lang w:val="en-US" w:eastAsia="zh-CN"/>
        </w:rPr>
        <w:t>版本修订历史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版本号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修改截止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制定人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val="en-US" w:eastAsia="zh-CN"/>
              </w:rPr>
              <w:t>/审核人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V1.0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初始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使用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版本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WH、JQ/TCJ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jc w:val="right"/>
      <w:rPr>
        <w:rFonts w:hint="default" w:ascii="宋体" w:hAnsi="宋体" w:eastAsia="宋体" w:cs="宋体"/>
        <w:b/>
        <w:bCs/>
        <w:color w:val="auto"/>
        <w:sz w:val="24"/>
        <w:szCs w:val="24"/>
        <w:shd w:val="clear" w:color="auto" w:fill="auto"/>
        <w:lang w:val="en-US" w:eastAsia="zh-CN"/>
      </w:rPr>
    </w:pP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9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auto"/>
        <w:sz w:val="24"/>
        <w:szCs w:val="24"/>
        <w:shd w:val="clear" w:color="auto" w:fill="auto"/>
        <w:lang w:val="en-US" w:eastAsia="zh-CN"/>
      </w:rPr>
      <w:t>EC57用户手册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double" w:color="auto" w:sz="8" w:space="1"/>
      </w:pBdr>
      <w:jc w:val="right"/>
      <w:rPr>
        <w:rFonts w:hint="eastAsia"/>
        <w:lang w:eastAsia="zh-CN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2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18"/>
        <w:szCs w:val="18"/>
        <w:u w:val="none"/>
        <w:lang w:val="en-US" w:eastAsia="zh-CN"/>
      </w:rPr>
      <w:t>HS1-60-SC交直流脉冲型闭环步进驱动器用户手册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EF5D32AF"/>
    <w:multiLevelType w:val="singleLevel"/>
    <w:tmpl w:val="EF5D32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E2F4C79"/>
    <w:multiLevelType w:val="singleLevel"/>
    <w:tmpl w:val="1E2F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8C44CAE"/>
    <w:multiLevelType w:val="singleLevel"/>
    <w:tmpl w:val="48C44C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zMDJhOGFmZWUwYjMyMDEwNjI0YWQ4Y2E3OGNkYjEifQ=="/>
  </w:docVars>
  <w:rsids>
    <w:rsidRoot w:val="1FEA7CD7"/>
    <w:rsid w:val="00256DC5"/>
    <w:rsid w:val="00282BD8"/>
    <w:rsid w:val="005117AD"/>
    <w:rsid w:val="00552F5E"/>
    <w:rsid w:val="005659D2"/>
    <w:rsid w:val="00FF26F4"/>
    <w:rsid w:val="01166072"/>
    <w:rsid w:val="016075F7"/>
    <w:rsid w:val="01BB5A85"/>
    <w:rsid w:val="01D803E5"/>
    <w:rsid w:val="01DB7ED5"/>
    <w:rsid w:val="01E0373D"/>
    <w:rsid w:val="01E86FEB"/>
    <w:rsid w:val="021F55C5"/>
    <w:rsid w:val="022E027F"/>
    <w:rsid w:val="024E444B"/>
    <w:rsid w:val="026C7530"/>
    <w:rsid w:val="02956437"/>
    <w:rsid w:val="02D46311"/>
    <w:rsid w:val="02EA6EBE"/>
    <w:rsid w:val="031658D9"/>
    <w:rsid w:val="03176E30"/>
    <w:rsid w:val="03B3128C"/>
    <w:rsid w:val="03D65101"/>
    <w:rsid w:val="03E10CA8"/>
    <w:rsid w:val="040D4F60"/>
    <w:rsid w:val="0423712E"/>
    <w:rsid w:val="043F7BBD"/>
    <w:rsid w:val="05485881"/>
    <w:rsid w:val="05DC3D9D"/>
    <w:rsid w:val="069B5FC6"/>
    <w:rsid w:val="06F169D5"/>
    <w:rsid w:val="070802D4"/>
    <w:rsid w:val="07E05125"/>
    <w:rsid w:val="07ED0962"/>
    <w:rsid w:val="08224B57"/>
    <w:rsid w:val="090A360A"/>
    <w:rsid w:val="094C2972"/>
    <w:rsid w:val="0970184A"/>
    <w:rsid w:val="098B459B"/>
    <w:rsid w:val="0A09616F"/>
    <w:rsid w:val="0A5D2BF1"/>
    <w:rsid w:val="0AA71D0A"/>
    <w:rsid w:val="0AF03078"/>
    <w:rsid w:val="0B016954"/>
    <w:rsid w:val="0B8966B9"/>
    <w:rsid w:val="0B8C6ECE"/>
    <w:rsid w:val="0BAD28E2"/>
    <w:rsid w:val="0BC772B9"/>
    <w:rsid w:val="0BD51E39"/>
    <w:rsid w:val="0C4176E6"/>
    <w:rsid w:val="0C825B1D"/>
    <w:rsid w:val="0CBC2892"/>
    <w:rsid w:val="0D472E8B"/>
    <w:rsid w:val="0D554FDF"/>
    <w:rsid w:val="0D657C70"/>
    <w:rsid w:val="0D6E5A62"/>
    <w:rsid w:val="0DCF41AE"/>
    <w:rsid w:val="0E0B1B42"/>
    <w:rsid w:val="0E4B311A"/>
    <w:rsid w:val="0E6938B0"/>
    <w:rsid w:val="0E791D6E"/>
    <w:rsid w:val="0E981627"/>
    <w:rsid w:val="0E9C279A"/>
    <w:rsid w:val="0EDB7766"/>
    <w:rsid w:val="0F2B1B14"/>
    <w:rsid w:val="0F3B45E8"/>
    <w:rsid w:val="0FC7273D"/>
    <w:rsid w:val="0FD7644E"/>
    <w:rsid w:val="0FE05288"/>
    <w:rsid w:val="1026494D"/>
    <w:rsid w:val="108657E4"/>
    <w:rsid w:val="10F30708"/>
    <w:rsid w:val="11072A94"/>
    <w:rsid w:val="11A96836"/>
    <w:rsid w:val="12665068"/>
    <w:rsid w:val="12C01C22"/>
    <w:rsid w:val="12E723E3"/>
    <w:rsid w:val="12EC1659"/>
    <w:rsid w:val="13087A72"/>
    <w:rsid w:val="13497394"/>
    <w:rsid w:val="136876CA"/>
    <w:rsid w:val="13977400"/>
    <w:rsid w:val="13F557BC"/>
    <w:rsid w:val="14760B17"/>
    <w:rsid w:val="14F91774"/>
    <w:rsid w:val="1513489A"/>
    <w:rsid w:val="15534962"/>
    <w:rsid w:val="15906837"/>
    <w:rsid w:val="15EA6DDC"/>
    <w:rsid w:val="15FA296B"/>
    <w:rsid w:val="16676D02"/>
    <w:rsid w:val="16CF5E02"/>
    <w:rsid w:val="17B711F6"/>
    <w:rsid w:val="17F23324"/>
    <w:rsid w:val="1881238F"/>
    <w:rsid w:val="18CE4743"/>
    <w:rsid w:val="18D23988"/>
    <w:rsid w:val="18E02044"/>
    <w:rsid w:val="18FA57A6"/>
    <w:rsid w:val="19A35324"/>
    <w:rsid w:val="19E71785"/>
    <w:rsid w:val="1A3578AB"/>
    <w:rsid w:val="1A6F16F9"/>
    <w:rsid w:val="1ABA34B1"/>
    <w:rsid w:val="1B070BAF"/>
    <w:rsid w:val="1B077B9A"/>
    <w:rsid w:val="1B0D7454"/>
    <w:rsid w:val="1B1C0EEA"/>
    <w:rsid w:val="1B7B30DF"/>
    <w:rsid w:val="1B803B6F"/>
    <w:rsid w:val="1B881E53"/>
    <w:rsid w:val="1BA25C67"/>
    <w:rsid w:val="1BB24C39"/>
    <w:rsid w:val="1BD2468D"/>
    <w:rsid w:val="1C0E6F34"/>
    <w:rsid w:val="1C2C4754"/>
    <w:rsid w:val="1C913B5A"/>
    <w:rsid w:val="1CEF0458"/>
    <w:rsid w:val="1DB21FDA"/>
    <w:rsid w:val="1DBA7652"/>
    <w:rsid w:val="1E6A4918"/>
    <w:rsid w:val="1E830638"/>
    <w:rsid w:val="1E9E5DD9"/>
    <w:rsid w:val="1EB1045C"/>
    <w:rsid w:val="1EFF273F"/>
    <w:rsid w:val="1F212A17"/>
    <w:rsid w:val="1FBF0A42"/>
    <w:rsid w:val="1FEA7CD7"/>
    <w:rsid w:val="20554080"/>
    <w:rsid w:val="205765BD"/>
    <w:rsid w:val="20932183"/>
    <w:rsid w:val="209B4BD1"/>
    <w:rsid w:val="21210377"/>
    <w:rsid w:val="21551934"/>
    <w:rsid w:val="216E097A"/>
    <w:rsid w:val="22517239"/>
    <w:rsid w:val="22605BD5"/>
    <w:rsid w:val="226F3FF6"/>
    <w:rsid w:val="22B60EDE"/>
    <w:rsid w:val="23352742"/>
    <w:rsid w:val="23447A75"/>
    <w:rsid w:val="2369509F"/>
    <w:rsid w:val="23746B52"/>
    <w:rsid w:val="23751ADF"/>
    <w:rsid w:val="23D92C3D"/>
    <w:rsid w:val="23E4182C"/>
    <w:rsid w:val="244D0C0D"/>
    <w:rsid w:val="24EC4023"/>
    <w:rsid w:val="255A0F8D"/>
    <w:rsid w:val="2564005E"/>
    <w:rsid w:val="25803E00"/>
    <w:rsid w:val="258D18E2"/>
    <w:rsid w:val="25BC39F6"/>
    <w:rsid w:val="25D45E02"/>
    <w:rsid w:val="260D1904"/>
    <w:rsid w:val="26265A6B"/>
    <w:rsid w:val="26267BBE"/>
    <w:rsid w:val="269B69A9"/>
    <w:rsid w:val="26AD77E2"/>
    <w:rsid w:val="26D7485F"/>
    <w:rsid w:val="26E5451C"/>
    <w:rsid w:val="26EE12D9"/>
    <w:rsid w:val="26F21A77"/>
    <w:rsid w:val="27D93B50"/>
    <w:rsid w:val="28221DCA"/>
    <w:rsid w:val="282A7DE1"/>
    <w:rsid w:val="283A6E54"/>
    <w:rsid w:val="28583EE1"/>
    <w:rsid w:val="28652321"/>
    <w:rsid w:val="28C64B8B"/>
    <w:rsid w:val="29310257"/>
    <w:rsid w:val="29682341"/>
    <w:rsid w:val="2982266A"/>
    <w:rsid w:val="29850EAE"/>
    <w:rsid w:val="29C95921"/>
    <w:rsid w:val="2A070884"/>
    <w:rsid w:val="2A3B5B0E"/>
    <w:rsid w:val="2A4D7312"/>
    <w:rsid w:val="2AB436EF"/>
    <w:rsid w:val="2ABA3DEB"/>
    <w:rsid w:val="2AD661A1"/>
    <w:rsid w:val="2B49288B"/>
    <w:rsid w:val="2B4A5600"/>
    <w:rsid w:val="2B942D1F"/>
    <w:rsid w:val="2BD03145"/>
    <w:rsid w:val="2C455599"/>
    <w:rsid w:val="2C5C095F"/>
    <w:rsid w:val="2C602C01"/>
    <w:rsid w:val="2C9024FD"/>
    <w:rsid w:val="2C9F5E1F"/>
    <w:rsid w:val="2CEB36BD"/>
    <w:rsid w:val="2D080521"/>
    <w:rsid w:val="2D311F92"/>
    <w:rsid w:val="2D3446B2"/>
    <w:rsid w:val="2D631468"/>
    <w:rsid w:val="2D9F267E"/>
    <w:rsid w:val="2DA137B3"/>
    <w:rsid w:val="2E480081"/>
    <w:rsid w:val="2EB11545"/>
    <w:rsid w:val="2EB727A1"/>
    <w:rsid w:val="2F286AB1"/>
    <w:rsid w:val="2F36121B"/>
    <w:rsid w:val="2FF864E2"/>
    <w:rsid w:val="30946136"/>
    <w:rsid w:val="30A77D27"/>
    <w:rsid w:val="311D4D0B"/>
    <w:rsid w:val="31412E1B"/>
    <w:rsid w:val="328523ED"/>
    <w:rsid w:val="32B91FA4"/>
    <w:rsid w:val="32E83101"/>
    <w:rsid w:val="32EA287E"/>
    <w:rsid w:val="33406B51"/>
    <w:rsid w:val="3366351A"/>
    <w:rsid w:val="338B375B"/>
    <w:rsid w:val="33DC6B92"/>
    <w:rsid w:val="34295422"/>
    <w:rsid w:val="344F012B"/>
    <w:rsid w:val="348D2076"/>
    <w:rsid w:val="349E7149"/>
    <w:rsid w:val="34A022FD"/>
    <w:rsid w:val="34C405A1"/>
    <w:rsid w:val="34D523DE"/>
    <w:rsid w:val="357A11D7"/>
    <w:rsid w:val="35B84674"/>
    <w:rsid w:val="35E00299"/>
    <w:rsid w:val="35FB77A9"/>
    <w:rsid w:val="360F7FE0"/>
    <w:rsid w:val="36CB586A"/>
    <w:rsid w:val="36DF4823"/>
    <w:rsid w:val="37020BED"/>
    <w:rsid w:val="370731F9"/>
    <w:rsid w:val="370E2CA9"/>
    <w:rsid w:val="379F2B4A"/>
    <w:rsid w:val="37A75C06"/>
    <w:rsid w:val="37FF4429"/>
    <w:rsid w:val="37FF61C0"/>
    <w:rsid w:val="38327B47"/>
    <w:rsid w:val="38582906"/>
    <w:rsid w:val="38927E20"/>
    <w:rsid w:val="389B1F13"/>
    <w:rsid w:val="38D1296D"/>
    <w:rsid w:val="394E1B71"/>
    <w:rsid w:val="3A2760BA"/>
    <w:rsid w:val="3A4C4873"/>
    <w:rsid w:val="3A7E722A"/>
    <w:rsid w:val="3ACA0A79"/>
    <w:rsid w:val="3B1057BF"/>
    <w:rsid w:val="3B2B2F7F"/>
    <w:rsid w:val="3B4F27BE"/>
    <w:rsid w:val="3B582D78"/>
    <w:rsid w:val="3B607D06"/>
    <w:rsid w:val="3B6D2FA6"/>
    <w:rsid w:val="3C2E6878"/>
    <w:rsid w:val="3C3149EA"/>
    <w:rsid w:val="3C3420E0"/>
    <w:rsid w:val="3C9012E0"/>
    <w:rsid w:val="3D1B2B4F"/>
    <w:rsid w:val="3D254B32"/>
    <w:rsid w:val="3D4313C4"/>
    <w:rsid w:val="3D814925"/>
    <w:rsid w:val="3D8B742A"/>
    <w:rsid w:val="3E2D0A5F"/>
    <w:rsid w:val="3E3068D7"/>
    <w:rsid w:val="3E48642C"/>
    <w:rsid w:val="3E65064E"/>
    <w:rsid w:val="3E720C9E"/>
    <w:rsid w:val="3EE12D8A"/>
    <w:rsid w:val="3F733709"/>
    <w:rsid w:val="3F782E63"/>
    <w:rsid w:val="3F7D6C1D"/>
    <w:rsid w:val="400D3374"/>
    <w:rsid w:val="40911EE3"/>
    <w:rsid w:val="40E26D93"/>
    <w:rsid w:val="41140BC8"/>
    <w:rsid w:val="414E607A"/>
    <w:rsid w:val="41D51BEA"/>
    <w:rsid w:val="41D66CAA"/>
    <w:rsid w:val="42122C99"/>
    <w:rsid w:val="421F738E"/>
    <w:rsid w:val="425B4A3E"/>
    <w:rsid w:val="426D00FA"/>
    <w:rsid w:val="42755200"/>
    <w:rsid w:val="42AB29D0"/>
    <w:rsid w:val="42F06635"/>
    <w:rsid w:val="43926F31"/>
    <w:rsid w:val="439F6942"/>
    <w:rsid w:val="43A53FF5"/>
    <w:rsid w:val="43B06F78"/>
    <w:rsid w:val="43CB168D"/>
    <w:rsid w:val="43F123DA"/>
    <w:rsid w:val="43F2769A"/>
    <w:rsid w:val="43F8110E"/>
    <w:rsid w:val="44B42992"/>
    <w:rsid w:val="45964F9A"/>
    <w:rsid w:val="46B462E5"/>
    <w:rsid w:val="46E26EC9"/>
    <w:rsid w:val="47632D17"/>
    <w:rsid w:val="478557B7"/>
    <w:rsid w:val="479559FD"/>
    <w:rsid w:val="48030004"/>
    <w:rsid w:val="48253225"/>
    <w:rsid w:val="48594C7C"/>
    <w:rsid w:val="48917993"/>
    <w:rsid w:val="489431D5"/>
    <w:rsid w:val="48A815E4"/>
    <w:rsid w:val="48A94193"/>
    <w:rsid w:val="493C518B"/>
    <w:rsid w:val="4A407EA2"/>
    <w:rsid w:val="4A7031B7"/>
    <w:rsid w:val="4B05560A"/>
    <w:rsid w:val="4B1E2E0F"/>
    <w:rsid w:val="4B3C336F"/>
    <w:rsid w:val="4B86304D"/>
    <w:rsid w:val="4B8B0709"/>
    <w:rsid w:val="4BA23D98"/>
    <w:rsid w:val="4BEB7EF5"/>
    <w:rsid w:val="4C001FDF"/>
    <w:rsid w:val="4C26078C"/>
    <w:rsid w:val="4C436D3A"/>
    <w:rsid w:val="4C526646"/>
    <w:rsid w:val="4C782965"/>
    <w:rsid w:val="4CE90DA7"/>
    <w:rsid w:val="4D4961EE"/>
    <w:rsid w:val="4DDF5C24"/>
    <w:rsid w:val="4E266242"/>
    <w:rsid w:val="4E40285F"/>
    <w:rsid w:val="4E47689E"/>
    <w:rsid w:val="4E7E368F"/>
    <w:rsid w:val="4F3A4081"/>
    <w:rsid w:val="4F443DEB"/>
    <w:rsid w:val="4F5157E1"/>
    <w:rsid w:val="4F5365D5"/>
    <w:rsid w:val="4F9366B7"/>
    <w:rsid w:val="4FDE68BC"/>
    <w:rsid w:val="4FFE310E"/>
    <w:rsid w:val="50C85AA3"/>
    <w:rsid w:val="50D80405"/>
    <w:rsid w:val="51784529"/>
    <w:rsid w:val="51A4340C"/>
    <w:rsid w:val="51C21AE4"/>
    <w:rsid w:val="521F1049"/>
    <w:rsid w:val="52347230"/>
    <w:rsid w:val="530F2C11"/>
    <w:rsid w:val="533760F8"/>
    <w:rsid w:val="53746E0E"/>
    <w:rsid w:val="539947FC"/>
    <w:rsid w:val="53A243DD"/>
    <w:rsid w:val="53D27C3B"/>
    <w:rsid w:val="53D66A7A"/>
    <w:rsid w:val="53E66B12"/>
    <w:rsid w:val="543215CD"/>
    <w:rsid w:val="548337AD"/>
    <w:rsid w:val="54F61E2B"/>
    <w:rsid w:val="55B45A87"/>
    <w:rsid w:val="564C7F3A"/>
    <w:rsid w:val="566A72BC"/>
    <w:rsid w:val="56F40146"/>
    <w:rsid w:val="572A5575"/>
    <w:rsid w:val="572E29DF"/>
    <w:rsid w:val="578F332D"/>
    <w:rsid w:val="57D56966"/>
    <w:rsid w:val="57F81DBC"/>
    <w:rsid w:val="581225E1"/>
    <w:rsid w:val="58412F8C"/>
    <w:rsid w:val="58571567"/>
    <w:rsid w:val="58C86224"/>
    <w:rsid w:val="59264F61"/>
    <w:rsid w:val="595500D7"/>
    <w:rsid w:val="59D033D4"/>
    <w:rsid w:val="59E1255E"/>
    <w:rsid w:val="5A382944"/>
    <w:rsid w:val="5A3D7F5A"/>
    <w:rsid w:val="5AA3092B"/>
    <w:rsid w:val="5ABA6A37"/>
    <w:rsid w:val="5AD74E60"/>
    <w:rsid w:val="5B32714F"/>
    <w:rsid w:val="5B345470"/>
    <w:rsid w:val="5B557525"/>
    <w:rsid w:val="5BAC4672"/>
    <w:rsid w:val="5BC5146F"/>
    <w:rsid w:val="5BEA1FF4"/>
    <w:rsid w:val="5C165CD4"/>
    <w:rsid w:val="5C2477D7"/>
    <w:rsid w:val="5C62639E"/>
    <w:rsid w:val="5C9C20E4"/>
    <w:rsid w:val="5D325D70"/>
    <w:rsid w:val="5D6A7758"/>
    <w:rsid w:val="5D731E97"/>
    <w:rsid w:val="5E195986"/>
    <w:rsid w:val="5E8D5293"/>
    <w:rsid w:val="5EB822A5"/>
    <w:rsid w:val="5EC1333C"/>
    <w:rsid w:val="5F04373C"/>
    <w:rsid w:val="5F09549E"/>
    <w:rsid w:val="5F311774"/>
    <w:rsid w:val="5F5615E7"/>
    <w:rsid w:val="5F6E0395"/>
    <w:rsid w:val="5FB46A54"/>
    <w:rsid w:val="5FFD0C46"/>
    <w:rsid w:val="601D1A9A"/>
    <w:rsid w:val="60BA2960"/>
    <w:rsid w:val="61164EC7"/>
    <w:rsid w:val="61AA7B04"/>
    <w:rsid w:val="61B34E82"/>
    <w:rsid w:val="62413B5D"/>
    <w:rsid w:val="62F94959"/>
    <w:rsid w:val="636838B8"/>
    <w:rsid w:val="637F2C3F"/>
    <w:rsid w:val="63B21004"/>
    <w:rsid w:val="63C04060"/>
    <w:rsid w:val="63DA095C"/>
    <w:rsid w:val="63DF0D8E"/>
    <w:rsid w:val="641A63B7"/>
    <w:rsid w:val="641D59AF"/>
    <w:rsid w:val="64462101"/>
    <w:rsid w:val="645E6D04"/>
    <w:rsid w:val="648E281E"/>
    <w:rsid w:val="64AD6D92"/>
    <w:rsid w:val="64EC2CA8"/>
    <w:rsid w:val="65D2499B"/>
    <w:rsid w:val="65EF367C"/>
    <w:rsid w:val="65F362B8"/>
    <w:rsid w:val="663B6169"/>
    <w:rsid w:val="66651758"/>
    <w:rsid w:val="66B3026D"/>
    <w:rsid w:val="66BF26F3"/>
    <w:rsid w:val="67787FD4"/>
    <w:rsid w:val="67A12195"/>
    <w:rsid w:val="67B132A2"/>
    <w:rsid w:val="67CD511C"/>
    <w:rsid w:val="67E964C4"/>
    <w:rsid w:val="6871307C"/>
    <w:rsid w:val="687617BD"/>
    <w:rsid w:val="687D1823"/>
    <w:rsid w:val="68885C8C"/>
    <w:rsid w:val="689D1FA7"/>
    <w:rsid w:val="68BC35D6"/>
    <w:rsid w:val="68F24068"/>
    <w:rsid w:val="69036D6D"/>
    <w:rsid w:val="69C441F4"/>
    <w:rsid w:val="69E203AF"/>
    <w:rsid w:val="6A1E307E"/>
    <w:rsid w:val="6A2133F4"/>
    <w:rsid w:val="6A962A1B"/>
    <w:rsid w:val="6B464BA6"/>
    <w:rsid w:val="6BBC35BA"/>
    <w:rsid w:val="6BF00AFD"/>
    <w:rsid w:val="6BFF20FE"/>
    <w:rsid w:val="6C354A44"/>
    <w:rsid w:val="6C411B2C"/>
    <w:rsid w:val="6C452A9D"/>
    <w:rsid w:val="6C8D4D71"/>
    <w:rsid w:val="6C951A00"/>
    <w:rsid w:val="6D214EC3"/>
    <w:rsid w:val="6D38566E"/>
    <w:rsid w:val="6D437B25"/>
    <w:rsid w:val="6D66192F"/>
    <w:rsid w:val="6D864717"/>
    <w:rsid w:val="6D8F7D0E"/>
    <w:rsid w:val="6DAF35C1"/>
    <w:rsid w:val="6DD734DF"/>
    <w:rsid w:val="6E1A2547"/>
    <w:rsid w:val="6E270D0A"/>
    <w:rsid w:val="6E392719"/>
    <w:rsid w:val="6E6D3716"/>
    <w:rsid w:val="6EAF5ECE"/>
    <w:rsid w:val="6EB72135"/>
    <w:rsid w:val="6F3C2A7E"/>
    <w:rsid w:val="6F3D3B52"/>
    <w:rsid w:val="6F4552C5"/>
    <w:rsid w:val="6FC26DD3"/>
    <w:rsid w:val="6FEF2B39"/>
    <w:rsid w:val="6FF11340"/>
    <w:rsid w:val="704B7A15"/>
    <w:rsid w:val="706B5927"/>
    <w:rsid w:val="70785174"/>
    <w:rsid w:val="70974DEA"/>
    <w:rsid w:val="70996C25"/>
    <w:rsid w:val="70E54314"/>
    <w:rsid w:val="71180294"/>
    <w:rsid w:val="712900B6"/>
    <w:rsid w:val="712E57C8"/>
    <w:rsid w:val="719C0012"/>
    <w:rsid w:val="71B132B0"/>
    <w:rsid w:val="71BC3CEE"/>
    <w:rsid w:val="72373462"/>
    <w:rsid w:val="725956F5"/>
    <w:rsid w:val="726768D7"/>
    <w:rsid w:val="73073815"/>
    <w:rsid w:val="732B120B"/>
    <w:rsid w:val="73324FC4"/>
    <w:rsid w:val="73361538"/>
    <w:rsid w:val="733F1EB8"/>
    <w:rsid w:val="7344657D"/>
    <w:rsid w:val="73A87215"/>
    <w:rsid w:val="73E22FE9"/>
    <w:rsid w:val="74082F2F"/>
    <w:rsid w:val="74214E71"/>
    <w:rsid w:val="74375FCC"/>
    <w:rsid w:val="7457538A"/>
    <w:rsid w:val="748B693F"/>
    <w:rsid w:val="74DF3DC6"/>
    <w:rsid w:val="752A6BA8"/>
    <w:rsid w:val="7538179D"/>
    <w:rsid w:val="755E148F"/>
    <w:rsid w:val="75C768DB"/>
    <w:rsid w:val="75EE3BA9"/>
    <w:rsid w:val="76400FD6"/>
    <w:rsid w:val="7651185B"/>
    <w:rsid w:val="767C19B2"/>
    <w:rsid w:val="768C2C25"/>
    <w:rsid w:val="76A21419"/>
    <w:rsid w:val="773E5EA8"/>
    <w:rsid w:val="775F2C73"/>
    <w:rsid w:val="77AD5996"/>
    <w:rsid w:val="77E52DAC"/>
    <w:rsid w:val="77F536D1"/>
    <w:rsid w:val="78373476"/>
    <w:rsid w:val="784A4C48"/>
    <w:rsid w:val="78714109"/>
    <w:rsid w:val="7896344A"/>
    <w:rsid w:val="78A820FE"/>
    <w:rsid w:val="797F5A41"/>
    <w:rsid w:val="79803217"/>
    <w:rsid w:val="79EE05E0"/>
    <w:rsid w:val="7A473776"/>
    <w:rsid w:val="7AA41EB8"/>
    <w:rsid w:val="7AAE2C62"/>
    <w:rsid w:val="7B2E29A5"/>
    <w:rsid w:val="7C6E251A"/>
    <w:rsid w:val="7C9267BB"/>
    <w:rsid w:val="7D1F4FB6"/>
    <w:rsid w:val="7DE247F1"/>
    <w:rsid w:val="7DE52FCB"/>
    <w:rsid w:val="7DF90F8A"/>
    <w:rsid w:val="7DFB6E00"/>
    <w:rsid w:val="7E4D5259"/>
    <w:rsid w:val="7E862EA1"/>
    <w:rsid w:val="7EE06F82"/>
    <w:rsid w:val="7EE815AA"/>
    <w:rsid w:val="7EEF3669"/>
    <w:rsid w:val="7F9002C0"/>
    <w:rsid w:val="7F9B31D5"/>
    <w:rsid w:val="7FB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"/>
    <w:autoRedefine/>
    <w:qFormat/>
    <w:uiPriority w:val="0"/>
    <w:pPr>
      <w:outlineLvl w:val="0"/>
    </w:pPr>
    <w:rPr>
      <w:sz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微软雅黑"/>
      <w:b/>
      <w:sz w:val="24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line="413" w:lineRule="auto"/>
      <w:outlineLvl w:val="2"/>
    </w:pPr>
    <w:rPr>
      <w:rFonts w:eastAsia="微软雅黑" w:asciiTheme="minorAscii" w:hAnsiTheme="minorAscii"/>
      <w:b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link w:val="2"/>
    <w:autoRedefine/>
    <w:qFormat/>
    <w:uiPriority w:val="0"/>
    <w:rPr>
      <w:rFonts w:ascii="Arial" w:hAnsi="Arial" w:eastAsia="微软雅黑" w:cstheme="minorBidi"/>
      <w:b/>
      <w:kern w:val="2"/>
      <w:sz w:val="28"/>
      <w:szCs w:val="24"/>
      <w:lang w:val="en-US" w:eastAsia="zh-CN" w:bidi="ar-SA"/>
    </w:rPr>
  </w:style>
  <w:style w:type="character" w:customStyle="1" w:styleId="15">
    <w:name w:val="标题 3 Char"/>
    <w:link w:val="4"/>
    <w:autoRedefine/>
    <w:qFormat/>
    <w:uiPriority w:val="0"/>
    <w:rPr>
      <w:rFonts w:eastAsia="微软雅黑" w:asciiTheme="minorAscii" w:hAnsiTheme="minorAscii"/>
      <w:b/>
      <w:sz w:val="21"/>
    </w:rPr>
  </w:style>
  <w:style w:type="paragraph" w:customStyle="1" w:styleId="16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9">
    <w:name w:val="批注框文本 Char"/>
    <w:basedOn w:val="13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fontstyle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em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  <customSectPr/>
  </customSectProps>
  <customShpExts>
    <customShpInfo spid="_x0000_s4104" textRotate="1"/>
    <customShpInfo spid="_x0000_s2061"/>
    <customShpInfo spid="_x0000_s2062"/>
    <customShpInfo spid="_x0000_s2060"/>
    <customShpInfo spid="_x0000_s2064"/>
    <customShpInfo spid="_x0000_s2065"/>
    <customShpInfo spid="_x0000_s2066"/>
    <customShpInfo spid="_x0000_s2063"/>
    <customShpInfo spid="_x0000_s2068"/>
    <customShpInfo spid="_x0000_s2069"/>
    <customShpInfo spid="_x0000_s2070"/>
    <customShpInfo spid="_x0000_s2071"/>
    <customShpInfo spid="_x0000_s2067"/>
    <customShpInfo spid="_x0000_s2079"/>
    <customShpInfo spid="_x0000_s2080"/>
    <customShpInfo spid="_x0000_s2081"/>
    <customShpInfo spid="_x0000_s2082"/>
    <customShpInfo spid="_x0000_s2083"/>
    <customShpInfo spid="_x0000_s2078"/>
    <customShpInfo spid="_x0000_s2136"/>
    <customShpInfo spid="_x0000_s2137"/>
    <customShpInfo spid="_x0000_s2138"/>
    <customShpInfo spid="_x0000_s2135"/>
    <customShpInfo spid="_x0000_s2140"/>
    <customShpInfo spid="_x0000_s2141"/>
    <customShpInfo spid="_x0000_s2142"/>
    <customShpInfo spid="_x0000_s2143"/>
    <customShpInfo spid="_x0000_s2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5901</Words>
  <Characters>6881</Characters>
  <Lines>62</Lines>
  <Paragraphs>17</Paragraphs>
  <TotalTime>3</TotalTime>
  <ScaleCrop>false</ScaleCrop>
  <LinksUpToDate>false</LinksUpToDate>
  <CharactersWithSpaces>7154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一</cp:lastModifiedBy>
  <dcterms:modified xsi:type="dcterms:W3CDTF">2024-04-28T08:02:24Z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15E216862C464F659D64D69B283AFDB0</vt:lpwstr>
  </property>
</Properties>
</file>