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/>
          <w:b/>
          <w:bCs/>
          <w:sz w:val="36"/>
          <w:szCs w:val="36"/>
        </w:rPr>
        <w:id w:val="147459289"/>
        <w:docPartObj>
          <w:docPartGallery w:val="Table of Contents"/>
          <w:docPartUnique/>
        </w:docPartObj>
      </w:sdtPr>
      <w:sdtEndPr>
        <w:rPr>
          <w:rFonts w:ascii="宋体" w:hAnsi="宋体" w:eastAsia="宋体"/>
          <w:b/>
          <w:bCs/>
          <w:sz w:val="20"/>
          <w:szCs w:val="20"/>
        </w:rPr>
      </w:sdtEndPr>
      <w:sdtContent>
        <w:p>
          <w:pPr>
            <w:jc w:val="center"/>
            <w:rPr>
              <w:b/>
              <w:bCs/>
              <w:sz w:val="36"/>
              <w:szCs w:val="36"/>
            </w:rPr>
          </w:pPr>
          <w:bookmarkStart w:id="0" w:name="_Toc7553_WPSOffice_Type2"/>
          <w:r>
            <w:rPr>
              <w:rFonts w:ascii="宋体" w:hAnsi="宋体" w:eastAsia="宋体"/>
              <w:b/>
              <w:bCs/>
              <w:sz w:val="36"/>
              <w:szCs w:val="36"/>
            </w:rPr>
            <w:t>目录</w:t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"_Toc20530_WPSOffice_Level1"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一、产品简介</w:t>
          </w:r>
          <w:r>
            <w:rPr>
              <w:b/>
              <w:bCs/>
            </w:rPr>
            <w:tab/>
          </w:r>
          <w:bookmarkStart w:id="1" w:name="_Toc20530_WPSOffice_Level1Page"/>
          <w:r>
            <w:rPr>
              <w:b/>
              <w:bCs/>
            </w:rPr>
            <w:t>2</w:t>
          </w:r>
          <w:bookmarkEnd w:id="1"/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"_Toc7553_WPSOffice_Level2"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概述</w:t>
          </w:r>
          <w:r>
            <w:rPr>
              <w:sz w:val="18"/>
              <w:szCs w:val="18"/>
            </w:rPr>
            <w:tab/>
          </w:r>
          <w:bookmarkStart w:id="2" w:name="_Toc7553_WPSOffice_Level2Page"/>
          <w:r>
            <w:rPr>
              <w:sz w:val="18"/>
              <w:szCs w:val="18"/>
            </w:rPr>
            <w:t>2</w:t>
          </w:r>
          <w:bookmarkEnd w:id="2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"_Toc20530_WPSOffice_Level2"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特点</w:t>
          </w:r>
          <w:r>
            <w:rPr>
              <w:sz w:val="18"/>
              <w:szCs w:val="18"/>
            </w:rPr>
            <w:tab/>
          </w:r>
          <w:bookmarkStart w:id="3" w:name="_Toc20530_WPSOffice_Level2Page"/>
          <w:r>
            <w:rPr>
              <w:sz w:val="18"/>
              <w:szCs w:val="18"/>
            </w:rPr>
            <w:t>2</w:t>
          </w:r>
          <w:bookmarkEnd w:id="3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"_Toc28424_WPSOffice_Level2" </w:instrText>
          </w:r>
          <w:r>
            <w:fldChar w:fldCharType="separate"/>
          </w:r>
          <w:r>
            <w:rPr>
              <w:sz w:val="18"/>
              <w:szCs w:val="18"/>
            </w:rPr>
            <w:t xml:space="preserve">3.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应用领域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"_Toc28424_WPSOffice_Level1"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二、电气、机械和环境指标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"_Toc11578_WPSOffice_Level2"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 电气指标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2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"_Toc9268_WPSOffice_Level2"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使用环境及参数</w:t>
          </w:r>
          <w:r>
            <w:rPr>
              <w:sz w:val="18"/>
              <w:szCs w:val="18"/>
            </w:rPr>
            <w:tab/>
          </w:r>
          <w:bookmarkStart w:id="4" w:name="_Toc9268_WPSOffice_Level2Page"/>
          <w:r>
            <w:rPr>
              <w:sz w:val="18"/>
              <w:szCs w:val="18"/>
            </w:rPr>
            <w:t>3</w:t>
          </w:r>
          <w:bookmarkEnd w:id="4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"_Toc25986_WPSOffice_Level2"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机械安装图</w:t>
          </w:r>
          <w:r>
            <w:rPr>
              <w:sz w:val="18"/>
              <w:szCs w:val="18"/>
            </w:rPr>
            <w:tab/>
          </w:r>
          <w:bookmarkStart w:id="5" w:name="_Toc25986_WPSOffice_Level2Page"/>
          <w:r>
            <w:rPr>
              <w:sz w:val="18"/>
              <w:szCs w:val="18"/>
            </w:rPr>
            <w:t>3</w:t>
          </w:r>
          <w:bookmarkEnd w:id="5"/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"_Toc15897_WPSOffice_Level2"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4. 加强散热方式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"_Toc11578_WPSOffice_Level1"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三、驱动器接口和接线介绍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"_Toc28989_WPSOffice_Level2" </w:instrText>
          </w:r>
          <w:r>
            <w:fldChar w:fldCharType="separate"/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1.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接口描述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4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"_Toc10690_WPSOffice_Level2"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2. 控制信号接口电路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"_Toc12369_WPSOffice_Level2"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3. 控制信号时序图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5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"_Toc30698_WPSOffice_Level2"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4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接线要求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"_Toc9268_WPSOffice_Level1"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四、拨码开关</w:t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功能</w:t>
          </w:r>
          <w:r>
            <w:rPr>
              <w:rFonts w:hint="eastAsia" w:ascii="微软雅黑" w:hAnsi="微软雅黑" w:eastAsia="微软雅黑" w:cs="微软雅黑"/>
              <w:b/>
              <w:bCs/>
            </w:rPr>
            <w:t>设定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6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1.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6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"_Toc2953_WPSOffice_Level2"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静态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电流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"_Toc3544_WPSOffice_Level2"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.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 xml:space="preserve">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细分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设置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7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"_Toc25986_WPSOffice_Level1"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</w:rPr>
            <w:t>五、供电电源选择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7</w:t>
          </w:r>
          <w:r>
            <w:rPr>
              <w:b/>
              <w:bCs/>
            </w:rPr>
            <w:fldChar w:fldCharType="end"/>
          </w:r>
        </w:p>
        <w:p>
          <w:pPr>
            <w:pStyle w:val="9"/>
            <w:tabs>
              <w:tab w:val="right" w:leader="dot" w:pos="9638"/>
            </w:tabs>
          </w:pPr>
          <w:r>
            <w:fldChar w:fldCharType="begin"/>
          </w:r>
          <w:r>
            <w:instrText xml:space="preserve"> HYPERLINK \l "_Toc28989_WPSOffice_Level1"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/>
              <w:bCs/>
              <w:lang w:eastAsia="zh-CN"/>
            </w:rPr>
            <w:t>六</w:t>
          </w:r>
          <w:r>
            <w:rPr>
              <w:rFonts w:hint="eastAsia" w:ascii="微软雅黑" w:hAnsi="微软雅黑" w:eastAsia="微软雅黑" w:cs="微软雅黑"/>
              <w:b/>
              <w:bCs/>
            </w:rPr>
            <w:t>、保护功能</w:t>
          </w:r>
          <w:r>
            <w:rPr>
              <w:b/>
              <w:bCs/>
            </w:rPr>
            <w:tab/>
          </w:r>
          <w:r>
            <w:rPr>
              <w:rFonts w:hint="eastAsia"/>
              <w:b/>
              <w:bCs/>
              <w:lang w:val="en-US" w:eastAsia="zh-CN"/>
            </w:rPr>
            <w:t>8</w:t>
          </w:r>
          <w:r>
            <w:rPr>
              <w:b/>
              <w:bCs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1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短路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2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过压保护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3</w:t>
          </w:r>
          <w:r>
            <w:rPr>
              <w:rFonts w:ascii="微软雅黑" w:hAnsi="微软雅黑" w:eastAsia="微软雅黑" w:cs="微软雅黑"/>
              <w:sz w:val="18"/>
              <w:szCs w:val="18"/>
            </w:rPr>
            <w:t xml:space="preserve">. 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eastAsia="zh-CN"/>
            </w:rPr>
            <w:t>欠压</w:t>
          </w:r>
          <w:r>
            <w:rPr>
              <w:rFonts w:hint="eastAsia" w:ascii="微软雅黑" w:hAnsi="微软雅黑" w:eastAsia="微软雅黑" w:cs="微软雅黑"/>
              <w:sz w:val="18"/>
              <w:szCs w:val="18"/>
            </w:rPr>
            <w:t>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  <w:ind w:left="420"/>
            <w:rPr>
              <w:sz w:val="18"/>
              <w:szCs w:val="18"/>
            </w:rPr>
          </w:pPr>
          <w:r>
            <w:fldChar w:fldCharType="begin"/>
          </w:r>
          <w:r>
            <w:instrText xml:space="preserve"> HYPERLINK \l "_Toc15522_WPSOffice_Level2"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4</w:t>
          </w:r>
          <w:r>
            <w:rPr>
              <w:rFonts w:hint="eastAsia" w:ascii="微软雅黑" w:hAnsi="微软雅黑" w:eastAsia="微软雅黑" w:cs="微软雅黑"/>
              <w:sz w:val="18"/>
              <w:szCs w:val="18"/>
              <w:lang w:val="en-US" w:eastAsia="zh-CN"/>
            </w:rPr>
            <w:t>. 缺相保护</w:t>
          </w:r>
          <w:r>
            <w:rPr>
              <w:sz w:val="18"/>
              <w:szCs w:val="18"/>
            </w:rPr>
            <w:tab/>
          </w:r>
          <w:r>
            <w:rPr>
              <w:rFonts w:hint="eastAsia"/>
              <w:sz w:val="18"/>
              <w:szCs w:val="18"/>
              <w:lang w:val="en-US" w:eastAsia="zh-CN"/>
            </w:rPr>
            <w:t>8</w:t>
          </w:r>
          <w:r>
            <w:rPr>
              <w:sz w:val="18"/>
              <w:szCs w:val="18"/>
            </w:rPr>
            <w:fldChar w:fldCharType="end"/>
          </w:r>
        </w:p>
        <w:p>
          <w:pPr>
            <w:pStyle w:val="10"/>
            <w:tabs>
              <w:tab w:val="right" w:leader="dot" w:pos="9638"/>
            </w:tabs>
          </w:pPr>
        </w:p>
      </w:sdtContent>
    </w:sdt>
    <w:bookmarkEnd w:id="0"/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bookmarkStart w:id="6" w:name="_Toc29222_WPSOffice_Level1"/>
      <w:bookmarkStart w:id="7" w:name="_Toc14787_WPSOffice_Level1"/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bookmarkEnd w:id="6"/>
    <w:bookmarkEnd w:id="7"/>
    <w:p>
      <w:pPr>
        <w:jc w:val="center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8" w:name="_Toc25850_WPSOffice_Level1"/>
      <w:bookmarkStart w:id="9" w:name="_Toc7553_WPSOffice_Level1"/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both"/>
        <w:outlineLvl w:val="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DMA856S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数字式两相步进驱动器</w:t>
      </w:r>
      <w:bookmarkEnd w:id="8"/>
      <w:bookmarkEnd w:id="9"/>
    </w:p>
    <w:p>
      <w:pPr>
        <w:numPr>
          <w:ilvl w:val="0"/>
          <w:numId w:val="1"/>
        </w:numPr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0" w:name="_Toc20530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产品简介</w:t>
      </w:r>
      <w:bookmarkEnd w:id="10"/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1" w:name="_Toc7553_WPSOffice_Level2"/>
      <w:r>
        <w:rPr>
          <w:rFonts w:hint="eastAsia" w:ascii="微软雅黑" w:hAnsi="微软雅黑" w:eastAsia="微软雅黑" w:cs="微软雅黑"/>
          <w:b/>
          <w:bCs/>
          <w:sz w:val="24"/>
        </w:rPr>
        <w:t>概述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DMA856S</w:t>
      </w:r>
      <w:r>
        <w:rPr>
          <w:rFonts w:hint="eastAsia" w:ascii="微软雅黑" w:hAnsi="微软雅黑" w:eastAsia="微软雅黑" w:cs="微软雅黑"/>
          <w:sz w:val="18"/>
          <w:szCs w:val="18"/>
        </w:rPr>
        <w:t>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格睿物联技术有限公司</w:t>
      </w:r>
      <w:r>
        <w:rPr>
          <w:rFonts w:hint="eastAsia" w:ascii="微软雅黑" w:hAnsi="微软雅黑" w:eastAsia="微软雅黑" w:cs="微软雅黑"/>
          <w:sz w:val="18"/>
          <w:szCs w:val="18"/>
        </w:rPr>
        <w:t>推出的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两相</w:t>
      </w:r>
      <w:r>
        <w:rPr>
          <w:rFonts w:hint="eastAsia" w:ascii="微软雅黑" w:hAnsi="微软雅黑" w:eastAsia="微软雅黑" w:cs="微软雅黑"/>
          <w:sz w:val="18"/>
          <w:szCs w:val="18"/>
        </w:rPr>
        <w:t>数字式步进驱动器，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采用类伺服的控制原理</w:t>
      </w:r>
      <w:r>
        <w:rPr>
          <w:rFonts w:hint="eastAsia" w:ascii="微软雅黑" w:hAnsi="微软雅黑" w:eastAsia="微软雅黑" w:cs="微软雅黑"/>
          <w:sz w:val="18"/>
          <w:szCs w:val="18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将矢量控制技术、内置微细分技术、自适应滤波技术融为一体，极大地优化了步进电机的性能，</w:t>
      </w:r>
      <w:r>
        <w:rPr>
          <w:rFonts w:hint="eastAsia" w:ascii="微软雅黑" w:hAnsi="微软雅黑" w:eastAsia="微软雅黑" w:cs="微软雅黑"/>
          <w:sz w:val="18"/>
          <w:szCs w:val="18"/>
        </w:rPr>
        <w:t>低中高速运行都很平稳，噪音小。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精确、平滑的纯正弦电流矢量控制技术有效的减少了电机发热。其性价比极高，</w:t>
      </w:r>
      <w:r>
        <w:rPr>
          <w:rFonts w:hint="eastAsia" w:ascii="微软雅黑" w:hAnsi="微软雅黑" w:eastAsia="微软雅黑" w:cs="微软雅黑"/>
          <w:sz w:val="18"/>
          <w:szCs w:val="18"/>
        </w:rPr>
        <w:t>能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够</w:t>
      </w:r>
      <w:r>
        <w:rPr>
          <w:rFonts w:hint="eastAsia" w:ascii="微软雅黑" w:hAnsi="微软雅黑" w:eastAsia="微软雅黑" w:cs="微软雅黑"/>
          <w:sz w:val="18"/>
          <w:szCs w:val="18"/>
        </w:rPr>
        <w:t>满足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绝</w:t>
      </w:r>
      <w:r>
        <w:rPr>
          <w:rFonts w:hint="eastAsia" w:ascii="微软雅黑" w:hAnsi="微软雅黑" w:eastAsia="微软雅黑" w:cs="微软雅黑"/>
          <w:sz w:val="18"/>
          <w:szCs w:val="18"/>
        </w:rPr>
        <w:t>大多数场合的应用需要。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firstLine="360" w:firstLineChars="200"/>
        <w:jc w:val="left"/>
        <w:textAlignment w:val="auto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DMA856S驱动器支持交直流供电，其驱动电压范围在AC18~55V/DC20~80V，适配峰值电流在5.6A以下，外径42~86mm的两相混合式步进电机。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2" w:name="_Toc20530_WPSOffice_Level2"/>
      <w:r>
        <w:rPr>
          <w:rFonts w:hint="eastAsia" w:ascii="微软雅黑" w:hAnsi="微软雅黑" w:eastAsia="微软雅黑" w:cs="微软雅黑"/>
          <w:b/>
          <w:bCs/>
          <w:sz w:val="24"/>
        </w:rPr>
        <w:t>特点</w:t>
      </w:r>
      <w:bookmarkEnd w:id="12"/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●全新32位DSP技术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便于安装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●可驱动4、6、8线两相步进电机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</w:rPr>
        <w:t>●光隔离差分信号输入</w:t>
      </w:r>
    </w:p>
    <w:p>
      <w:pPr>
        <w:spacing w:line="360" w:lineRule="auto"/>
        <w:ind w:left="105" w:leftChars="5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●内置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微</w:t>
      </w:r>
      <w:r>
        <w:rPr>
          <w:rFonts w:hint="eastAsia" w:ascii="微软雅黑" w:hAnsi="微软雅黑" w:eastAsia="微软雅黑" w:cs="微软雅黑"/>
          <w:sz w:val="18"/>
          <w:szCs w:val="18"/>
        </w:rPr>
        <w:t>细分                           ●脉冲响应频率最高可达200KHz（更高可改）</w:t>
      </w:r>
    </w:p>
    <w:p>
      <w:pPr>
        <w:spacing w:line="360" w:lineRule="auto"/>
        <w:ind w:left="105" w:leftChars="5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●精密电流控制使电机发热大为降低       ●低振动低噪声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●静止时电流自动减半                   ●具有过压、欠压、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过流、缺相</w:t>
      </w:r>
      <w:r>
        <w:rPr>
          <w:rFonts w:hint="eastAsia" w:ascii="微软雅黑" w:hAnsi="微软雅黑" w:eastAsia="微软雅黑" w:cs="微软雅黑"/>
          <w:sz w:val="18"/>
          <w:szCs w:val="18"/>
        </w:rPr>
        <w:t>等保护功能</w:t>
      </w:r>
    </w:p>
    <w:p>
      <w:pPr>
        <w:spacing w:line="360" w:lineRule="auto"/>
        <w:ind w:left="105" w:leftChars="5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●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交直流均可供电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                 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</w:t>
      </w:r>
    </w:p>
    <w:p>
      <w:pPr>
        <w:numPr>
          <w:ilvl w:val="0"/>
          <w:numId w:val="2"/>
        </w:numPr>
        <w:ind w:left="105" w:leftChars="50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</w:rPr>
      </w:pPr>
      <w:bookmarkStart w:id="13" w:name="_Toc28424_WPSOffice_Level2"/>
      <w:r>
        <w:rPr>
          <w:rFonts w:hint="eastAsia" w:ascii="微软雅黑" w:hAnsi="微软雅黑" w:eastAsia="微软雅黑" w:cs="微软雅黑"/>
          <w:b/>
          <w:bCs/>
          <w:sz w:val="24"/>
        </w:rPr>
        <w:t>应用领域</w:t>
      </w:r>
      <w:bookmarkEnd w:id="13"/>
    </w:p>
    <w:p>
      <w:pPr>
        <w:spacing w:line="360" w:lineRule="auto"/>
        <w:ind w:left="105" w:leftChars="50" w:firstLine="360" w:firstLineChars="200"/>
        <w:jc w:val="left"/>
        <w:rPr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适合各种中小型自动化设备和仪器，例如：雕刻机、打标机、切割机、绘图仪、数控机床、自动装配设备等。在用户期望小噪声、高速度的设备应用中应用效果特佳。</w:t>
      </w:r>
    </w:p>
    <w:p>
      <w:pPr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14" w:name="_Toc28424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二、电气、机械和环境指标</w:t>
      </w:r>
      <w:bookmarkEnd w:id="14"/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5" w:name="_Toc11578_WPSOffice_Level2"/>
      <w:r>
        <w:rPr>
          <w:rFonts w:hint="eastAsia" w:ascii="微软雅黑" w:hAnsi="微软雅黑" w:eastAsia="微软雅黑" w:cs="微软雅黑"/>
          <w:b/>
          <w:bCs/>
          <w:sz w:val="24"/>
        </w:rPr>
        <w:t>电气指标</w:t>
      </w:r>
      <w:bookmarkEnd w:id="15"/>
    </w:p>
    <w:tbl>
      <w:tblPr>
        <w:tblStyle w:val="7"/>
        <w:tblW w:w="5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088"/>
        <w:gridCol w:w="993"/>
        <w:gridCol w:w="10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restart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说明</w:t>
            </w:r>
          </w:p>
        </w:tc>
        <w:tc>
          <w:tcPr>
            <w:tcW w:w="3994" w:type="dxa"/>
            <w:gridSpan w:val="4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DMA856S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826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最小值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典型值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最大值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1.4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(直流)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V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D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输入电源电压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(交流)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VAC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控制信号输入电流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步进脉冲频率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绝缘电阻</w:t>
            </w:r>
          </w:p>
        </w:tc>
        <w:tc>
          <w:tcPr>
            <w:tcW w:w="1088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13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MΩ</w:t>
            </w:r>
          </w:p>
        </w:tc>
      </w:tr>
    </w:tbl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6" w:name="_Toc9268_WPSOffice_Level2"/>
    </w:p>
    <w:p>
      <w:pPr>
        <w:numPr>
          <w:ilvl w:val="0"/>
          <w:numId w:val="0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使用环境及参数</w:t>
      </w:r>
      <w:bookmarkEnd w:id="16"/>
    </w:p>
    <w:tbl>
      <w:tblPr>
        <w:tblStyle w:val="7"/>
        <w:tblW w:w="7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196"/>
        <w:gridCol w:w="5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冷却方式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</w:rPr>
              <w:t>自然冷却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eastAsia="zh-CN"/>
              </w:rPr>
              <w:t>、风扇散热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95" w:type="dxa"/>
            <w:vMerge w:val="restart"/>
          </w:tcPr>
          <w:p>
            <w:pPr>
              <w:spacing w:line="120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使用环境</w:t>
            </w:r>
          </w:p>
        </w:tc>
        <w:tc>
          <w:tcPr>
            <w:tcW w:w="1196" w:type="dxa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场合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不能放在其他发热的设备旁，要避免粉尘、油雾、腐蚀性气体，湿度太大及强振动场所，禁止有可燃气体和导电灰尘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0——50℃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湿度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40—90%RH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95" w:type="dxa"/>
            <w:vMerge w:val="continue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  <w:tc>
          <w:tcPr>
            <w:tcW w:w="1196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振动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10~55Hz/0.15mm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1" w:type="dxa"/>
            <w:gridSpan w:val="2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保存温度</w:t>
            </w:r>
          </w:p>
        </w:tc>
        <w:tc>
          <w:tcPr>
            <w:tcW w:w="5044" w:type="dxa"/>
          </w:tcPr>
          <w:p>
            <w:pPr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-20℃~65℃</w:t>
            </w:r>
          </w:p>
        </w:tc>
      </w:tr>
    </w:tbl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7" w:name="_Toc25986_WPSOffice_Level2"/>
      <w:r>
        <w:rPr>
          <w:rFonts w:hint="eastAsia" w:ascii="微软雅黑" w:hAnsi="微软雅黑" w:eastAsia="微软雅黑" w:cs="微软雅黑"/>
          <w:b/>
          <w:bCs/>
          <w:sz w:val="24"/>
        </w:rPr>
        <w:t>机械安装图</w:t>
      </w:r>
      <w:bookmarkEnd w:id="17"/>
    </w:p>
    <w:p>
      <w:p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drawing>
          <wp:inline distT="0" distB="0" distL="114300" distR="114300">
            <wp:extent cx="2744470" cy="5010150"/>
            <wp:effectExtent l="0" t="0" r="17780" b="0"/>
            <wp:docPr id="1" name="图片 1" descr="DS860 正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860 正面安装图"/>
                    <pic:cNvPicPr>
                      <a:picLocks noChangeAspect="1"/>
                    </pic:cNvPicPr>
                  </pic:nvPicPr>
                  <pic:blipFill>
                    <a:blip r:embed="rId6"/>
                    <a:srcRect b="1462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</w:t>
      </w:r>
      <w:r>
        <w:rPr>
          <w:rFonts w:hint="default" w:eastAsiaTheme="minorEastAsia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1577340" cy="4622800"/>
            <wp:effectExtent l="0" t="0" r="3810" b="6350"/>
            <wp:docPr id="2" name="图片 2" descr="DS860 侧面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860 侧面安装图"/>
                    <pic:cNvPicPr>
                      <a:picLocks noChangeAspect="1"/>
                    </pic:cNvPicPr>
                  </pic:nvPicPr>
                  <pic:blipFill>
                    <a:blip r:embed="rId7"/>
                    <a:srcRect t="2480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jc w:val="left"/>
        <w:rPr>
          <w:rFonts w:hint="default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                正面安装图                                                 侧面安装图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图1  安装尺寸图（单位：mm）</w:t>
      </w:r>
    </w:p>
    <w:p>
      <w:pPr>
        <w:spacing w:line="48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 xml:space="preserve">  ※推荐采用侧面安装，散热效果更佳，设计安装尺寸时，注意考虑端子大小及布线！</w:t>
      </w:r>
    </w:p>
    <w:p>
      <w:pPr>
        <w:numPr>
          <w:ilvl w:val="0"/>
          <w:numId w:val="3"/>
        </w:numPr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18" w:name="_Toc15897_WPSOffice_Level2"/>
      <w:r>
        <w:rPr>
          <w:rFonts w:hint="eastAsia" w:ascii="微软雅黑" w:hAnsi="微软雅黑" w:eastAsia="微软雅黑" w:cs="微软雅黑"/>
          <w:b/>
          <w:bCs/>
          <w:sz w:val="24"/>
        </w:rPr>
        <w:t>加强散热方式</w:t>
      </w:r>
      <w:bookmarkEnd w:id="18"/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19" w:name="_Toc11578_WPSOffice_Level1"/>
      <w:r>
        <w:rPr>
          <w:rFonts w:hint="eastAsia" w:ascii="微软雅黑" w:hAnsi="微软雅黑" w:eastAsia="微软雅黑" w:cs="微软雅黑"/>
          <w:sz w:val="18"/>
          <w:szCs w:val="18"/>
        </w:rPr>
        <w:t>驱动器的可靠工作温度通常在50℃以内，电机工作温度为80℃以内；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建议使用时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选择自动半流方式，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即电机</w:t>
      </w:r>
      <w:r>
        <w:rPr>
          <w:rFonts w:hint="eastAsia" w:ascii="微软雅黑" w:hAnsi="微软雅黑" w:eastAsia="微软雅黑" w:cs="微软雅黑"/>
          <w:sz w:val="18"/>
          <w:szCs w:val="18"/>
        </w:rPr>
        <w:t>停止时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电流自动减一半，减少电机和驱动器的发热；</w:t>
      </w:r>
    </w:p>
    <w:p>
      <w:pPr>
        <w:numPr>
          <w:ilvl w:val="0"/>
          <w:numId w:val="4"/>
        </w:num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安装驱动器时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请采用侧面安装，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并</w:t>
      </w:r>
      <w:r>
        <w:rPr>
          <w:rFonts w:hint="eastAsia" w:ascii="微软雅黑" w:hAnsi="微软雅黑" w:eastAsia="微软雅黑" w:cs="微软雅黑"/>
          <w:sz w:val="18"/>
          <w:szCs w:val="18"/>
        </w:rPr>
        <w:t>使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驱动器底面</w:t>
      </w:r>
      <w:r>
        <w:rPr>
          <w:rFonts w:hint="eastAsia" w:ascii="微软雅黑" w:hAnsi="微软雅黑" w:eastAsia="微软雅黑" w:cs="微软雅黑"/>
          <w:sz w:val="18"/>
          <w:szCs w:val="18"/>
        </w:rPr>
        <w:t>形成较强的空气对流；必要时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机内靠近驱动器处安装风扇，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形成空气对流，辅助驱动</w:t>
      </w:r>
      <w:r>
        <w:rPr>
          <w:rFonts w:hint="eastAsia" w:ascii="微软雅黑" w:hAnsi="微软雅黑" w:eastAsia="微软雅黑" w:cs="微软雅黑"/>
          <w:sz w:val="18"/>
          <w:szCs w:val="18"/>
        </w:rPr>
        <w:t>散热，保证驱动器在可靠工作温度范围内工作。</w:t>
      </w:r>
    </w:p>
    <w:p>
      <w:pPr>
        <w:spacing w:line="360" w:lineRule="auto"/>
        <w:ind w:left="105" w:leftChars="50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三、驱动器接口和接线介绍</w:t>
      </w:r>
      <w:bookmarkEnd w:id="19"/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0" w:name="_Toc28989_WPSOffice_Level2"/>
      <w:r>
        <w:rPr>
          <w:rFonts w:hint="eastAsia" w:ascii="微软雅黑" w:hAnsi="微软雅黑" w:eastAsia="微软雅黑" w:cs="微软雅黑"/>
          <w:b/>
          <w:bCs/>
          <w:sz w:val="24"/>
        </w:rPr>
        <w:t>接口描述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2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控制信号接口</w:t>
      </w:r>
    </w:p>
    <w:tbl>
      <w:tblPr>
        <w:tblStyle w:val="7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7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376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80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脉冲控制信号：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+5V-+24V均可驱动，上升沿有效，每当脉冲由高变低时，电机走一微步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。为了可靠响应脉冲信号，脉冲宽度应大于2μs。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P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LS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bookmarkStart w:id="21" w:name="OLE_LINK1"/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bookmarkEnd w:id="21"/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为保证电机可靠换向，方向信号应先于脉冲信号至少5μs建立。电机的初始运行方向与电机接线有关，互换任一相绕组（如A+、A-交换）可以改变电机初始运行方向。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DIR-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</w:t>
            </w:r>
          </w:p>
        </w:tc>
        <w:tc>
          <w:tcPr>
            <w:tcW w:w="7809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使能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控制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信号：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+5V-+24V均可驱动，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高/低电平信号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用于使能或禁止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电机的运行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当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ENA+接+5V，ENA-接低电平时，驱动器将切断电机各相的电流使电机处于自由状态，此时步进脉冲不被响应。当不需用此功能时，使能信号端悬空即可。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3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ENA-</w:t>
            </w:r>
          </w:p>
        </w:tc>
        <w:tc>
          <w:tcPr>
            <w:tcW w:w="7809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强电接口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7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7651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AC2</w:t>
            </w:r>
          </w:p>
        </w:tc>
        <w:tc>
          <w:tcPr>
            <w:tcW w:w="7651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交直流通用，不分正负，范围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AC18~55V/DC20~80V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AC1</w:t>
            </w:r>
          </w:p>
        </w:tc>
        <w:tc>
          <w:tcPr>
            <w:tcW w:w="7651" w:type="dxa"/>
            <w:vMerge w:val="continue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A+、A-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电机A相线圈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vAlign w:val="top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B+、B-</w:t>
            </w:r>
          </w:p>
        </w:tc>
        <w:tc>
          <w:tcPr>
            <w:tcW w:w="7651" w:type="dxa"/>
            <w:vAlign w:val="top"/>
          </w:tcPr>
          <w:p>
            <w:pPr>
              <w:spacing w:line="360" w:lineRule="auto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电机B相线圈</w:t>
            </w:r>
          </w:p>
        </w:tc>
      </w:tr>
    </w:tbl>
    <w:p>
      <w:pPr>
        <w:numPr>
          <w:ilvl w:val="0"/>
          <w:numId w:val="6"/>
        </w:numPr>
        <w:spacing w:line="360" w:lineRule="auto"/>
        <w:jc w:val="left"/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状态指示</w:t>
      </w:r>
    </w:p>
    <w:p>
      <w:pPr>
        <w:spacing w:line="360" w:lineRule="auto"/>
        <w:ind w:left="142"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绿色LED为电源指示灯，当驱动器接通电源时，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LED常亮；当驱动器切断电源时，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该</w:t>
      </w:r>
      <w:r>
        <w:rPr>
          <w:rFonts w:hint="eastAsia" w:ascii="微软雅黑" w:hAnsi="微软雅黑" w:eastAsia="微软雅黑" w:cs="微软雅黑"/>
          <w:sz w:val="18"/>
          <w:szCs w:val="18"/>
        </w:rPr>
        <w:t>LED熄灭。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0" w:leftChars="238" w:firstLine="0" w:firstLineChars="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红色LED为故障指示灯，当出现故障时，该指示灯以3秒为周期循环闪烁；当故障被用户消除时，红色LED常灭。红色LED在3秒内闪烁次数代表不同的故障信息，具体关系如下表所示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</w:p>
    <w:tbl>
      <w:tblPr>
        <w:tblStyle w:val="7"/>
        <w:tblW w:w="8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17"/>
        <w:gridCol w:w="3483"/>
        <w:gridCol w:w="3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17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闪烁次数</w:t>
            </w:r>
          </w:p>
        </w:tc>
        <w:tc>
          <w:tcPr>
            <w:tcW w:w="3483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红色LED闪烁波形</w:t>
            </w:r>
          </w:p>
        </w:tc>
        <w:tc>
          <w:tcPr>
            <w:tcW w:w="3709" w:type="dxa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005" cy="300355"/>
                  <wp:effectExtent l="0" t="0" r="4445" b="4445"/>
                  <wp:docPr id="5" name="图片 5" descr="b4b7420fd81022979949bd221bdc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4b7420fd81022979949bd221bdc59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005" cy="30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相间短路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或接触不良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故障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2</w:t>
            </w:r>
          </w:p>
        </w:tc>
        <w:tc>
          <w:tcPr>
            <w:tcW w:w="3483" w:type="dxa"/>
            <w:vAlign w:val="center"/>
          </w:tcPr>
          <w:p>
            <w:pPr>
              <w:tabs>
                <w:tab w:val="left" w:pos="1317"/>
              </w:tabs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299085"/>
                  <wp:effectExtent l="0" t="0" r="3810" b="5715"/>
                  <wp:docPr id="3" name="图片 3" descr="07aaeaeba1020372a59a448bd381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7aaeaeba1020372a59a448bd381b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29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过压故障（电压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&gt;DC80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3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3910" cy="309245"/>
                  <wp:effectExtent l="0" t="0" r="2540" b="14605"/>
                  <wp:docPr id="4" name="图片 4" descr="6ba76b7c1245b14a916aadd4c40f2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a76b7c1245b14a916aadd4c40f2f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欠压故障（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电压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&lt;DC20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</w:rPr>
              <w:t>V</w:t>
            </w: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8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72640" cy="311785"/>
                  <wp:effectExtent l="0" t="0" r="3810" b="12065"/>
                  <wp:docPr id="11" name="图片 11" descr="6f084afacbf711a593eea399b047a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f084afacbf711a593eea399b047aa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18"/>
                <w:szCs w:val="18"/>
                <w:lang w:eastAsia="zh-CN"/>
              </w:rPr>
              <w:t>电机开路</w:t>
            </w:r>
            <w:r>
              <w:rPr>
                <w:rFonts w:hint="eastAsia" w:ascii="Times New Roman" w:hAnsi="Times New Roman" w:eastAsia="微软雅黑" w:cs="Times New Roman"/>
                <w:sz w:val="18"/>
                <w:szCs w:val="18"/>
                <w:lang w:eastAsia="zh-CN"/>
              </w:rPr>
              <w:t>（缺相）</w:t>
            </w:r>
          </w:p>
        </w:tc>
      </w:tr>
    </w:tbl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2" w:name="_Toc10690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控制信号接口电路</w:t>
      </w:r>
    </w:p>
    <w:bookmarkEnd w:id="22"/>
    <w:p>
      <w:pPr>
        <w:spacing w:line="360" w:lineRule="auto"/>
        <w:jc w:val="lef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54350" cy="2395855"/>
            <wp:effectExtent l="0" t="0" r="12700" b="4445"/>
            <wp:docPr id="8" name="图片 8" descr="共阳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共阳极接法示意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3016250" cy="2408555"/>
            <wp:effectExtent l="0" t="0" r="12700" b="10795"/>
            <wp:docPr id="7" name="图片 7" descr="共阴极接法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共阴极接法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图2  输入接口电路</w:t>
      </w:r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控制信号端</w:t>
      </w:r>
      <w:r>
        <w:rPr>
          <w:rFonts w:hint="eastAsia" w:ascii="微软雅黑" w:hAnsi="微软雅黑" w:eastAsia="微软雅黑" w:cs="微软雅黑"/>
          <w:sz w:val="18"/>
          <w:szCs w:val="18"/>
        </w:rPr>
        <w:t>采用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差分</w:t>
      </w:r>
      <w:r>
        <w:rPr>
          <w:rFonts w:hint="eastAsia" w:ascii="微软雅黑" w:hAnsi="微软雅黑" w:eastAsia="微软雅黑" w:cs="微软雅黑"/>
          <w:sz w:val="18"/>
          <w:szCs w:val="18"/>
        </w:rPr>
        <w:t>式接口电路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可适用差分信号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单端共阴及共阳等接口，内置高速光电耦合器，在环境恶劣的场合，抗干扰能力强。接口电路示意图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如图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2所示。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both"/>
        <w:textAlignment w:val="auto"/>
        <w:rPr>
          <w:rFonts w:hint="default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DMA856S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eastAsia="zh-CN"/>
        </w:rPr>
        <w:t>为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5V-24V通用驱动器，因此信号控制端不需要串电阻！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3" w:name="_Toc12369_WPSOffice_Level2"/>
      <w:r>
        <w:rPr>
          <w:rFonts w:hint="eastAsia" w:ascii="微软雅黑" w:hAnsi="微软雅黑" w:eastAsia="微软雅黑" w:cs="微软雅黑"/>
          <w:b/>
          <w:bCs/>
          <w:sz w:val="24"/>
        </w:rPr>
        <w:t>控制信号时序图</w:t>
      </w:r>
      <w:bookmarkEnd w:id="23"/>
    </w:p>
    <w:p>
      <w:pPr>
        <w:spacing w:line="360" w:lineRule="auto"/>
        <w:ind w:left="105" w:leftChars="50"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为了避免一些误动作和偏差，P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LS</w:t>
      </w:r>
      <w:r>
        <w:rPr>
          <w:rFonts w:hint="eastAsia" w:ascii="微软雅黑" w:hAnsi="微软雅黑" w:eastAsia="微软雅黑" w:cs="微软雅黑"/>
          <w:sz w:val="18"/>
          <w:szCs w:val="18"/>
        </w:rPr>
        <w:t>、DIR和ENA应满足一定要求，如下图所示：</w:t>
      </w:r>
    </w:p>
    <w:p>
      <w:pPr>
        <w:spacing w:line="360" w:lineRule="auto"/>
        <w:ind w:left="105" w:leftChars="5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inline distT="0" distB="0" distL="114300" distR="114300">
            <wp:extent cx="4753610" cy="1544955"/>
            <wp:effectExtent l="0" t="0" r="8890" b="17145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图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控制信号时序图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注释：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t1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ENA（使能信号）应提前DIR至少5ms，确定为高。一般情况下建议ENA+和ENA-悬空即可。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t2：DIR至少提前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PLS</w:t>
      </w:r>
      <w:r>
        <w:rPr>
          <w:rFonts w:hint="eastAsia" w:ascii="微软雅黑" w:hAnsi="微软雅黑" w:eastAsia="微软雅黑" w:cs="微软雅黑"/>
          <w:sz w:val="18"/>
          <w:szCs w:val="18"/>
        </w:rPr>
        <w:t>下降沿5μs确定其状态高或低。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t3：脉冲宽度至少不小于2.5μs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7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t4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18"/>
          <w:szCs w:val="18"/>
        </w:rPr>
        <w:t>低电平宽度不小于2.5μs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</w:p>
    <w:p>
      <w:pPr>
        <w:numPr>
          <w:ilvl w:val="0"/>
          <w:numId w:val="5"/>
        </w:numPr>
        <w:spacing w:line="360" w:lineRule="auto"/>
        <w:ind w:left="105" w:leftChars="50"/>
        <w:jc w:val="left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4" w:name="_Toc30698_WPSOffice_Level2"/>
      <w:r>
        <w:rPr>
          <w:rFonts w:hint="eastAsia" w:ascii="微软雅黑" w:hAnsi="微软雅黑" w:eastAsia="微软雅黑" w:cs="微软雅黑"/>
          <w:b/>
          <w:bCs/>
          <w:sz w:val="24"/>
        </w:rPr>
        <w:t>接线要求</w:t>
      </w:r>
      <w:bookmarkEnd w:id="24"/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bookmarkStart w:id="25" w:name="_Toc9268_WPSOffice_Level1"/>
      <w:r>
        <w:rPr>
          <w:rFonts w:hint="eastAsia" w:ascii="微软雅黑" w:hAnsi="微软雅黑" w:eastAsia="微软雅黑" w:cs="微软雅黑"/>
          <w:sz w:val="18"/>
          <w:szCs w:val="18"/>
        </w:rPr>
        <w:t>为了防止驱动器受干扰，建议控制信号采用屏蔽电缆线，并且屏蔽层与地线短接，除特殊要求外，控制信号电缆的屏蔽线单端接地：屏蔽线的上位机一端接地，屏蔽线的驱动器一端悬空。同一机器内只允许在同一点接地，如果不是真实接地线，可能干扰严重，此时屏蔽层不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脉冲和方向信号线与电机线不允许并排包扎在一起，最好分开至少10cm以上，否则电机噪声容易干扰脉冲方向信号引起电机定位不准，系统不稳定等故障。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如果一个电源供多台驱动器，应在电源处采取并联连接，不允许先到一台再到一台链状式连接。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严禁带电拔插驱动器强电端子，带电的电机停止时仍有大电流流过线圈，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带电</w:t>
      </w:r>
      <w:r>
        <w:rPr>
          <w:rFonts w:hint="eastAsia" w:ascii="微软雅黑" w:hAnsi="微软雅黑" w:eastAsia="微软雅黑" w:cs="微软雅黑"/>
          <w:sz w:val="18"/>
          <w:szCs w:val="18"/>
        </w:rPr>
        <w:t>拔插端子将导致巨大的瞬间感生电动势烧坏驱动器。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严禁将导线头加锡后接入接线端子，否则可能因接触电阻变大而过热损坏端子。</w:t>
      </w:r>
    </w:p>
    <w:p>
      <w:pPr>
        <w:numPr>
          <w:ilvl w:val="0"/>
          <w:numId w:val="8"/>
        </w:numPr>
        <w:spacing w:line="360" w:lineRule="auto"/>
        <w:ind w:left="465" w:leftChars="50" w:hanging="360" w:hanging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接线线头不能裸露在端子外，以防意外短路而损坏驱动器。</w:t>
      </w: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拨码开关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功能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设定</w:t>
      </w:r>
      <w:bookmarkEnd w:id="25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驱动器采用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18"/>
          <w:szCs w:val="18"/>
        </w:rPr>
        <w:t>位拨码开关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SW1-SW3用于设置电流；SW4选择全流或者半流锁机；SW5-SW8用于细分设置。</w:t>
      </w:r>
      <w:r>
        <w:rPr>
          <w:rFonts w:hint="eastAsia" w:ascii="微软雅黑" w:hAnsi="微软雅黑" w:eastAsia="微软雅黑" w:cs="微软雅黑"/>
          <w:sz w:val="18"/>
          <w:szCs w:val="18"/>
        </w:rPr>
        <w:t>详细描述如下：</w:t>
      </w:r>
    </w:p>
    <w:tbl>
      <w:tblPr>
        <w:tblStyle w:val="7"/>
        <w:tblW w:w="7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SW1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SW2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SW3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SW4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SW5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SW6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SW7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vertAlign w:val="baseline"/>
                <w:lang w:val="en-US" w:eastAsia="zh-CN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272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电流设置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eastAsia="zh-CN"/>
              </w:rPr>
              <w:t>半流</w:t>
            </w:r>
          </w:p>
        </w:tc>
        <w:tc>
          <w:tcPr>
            <w:tcW w:w="36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细分设置</w:t>
            </w:r>
          </w:p>
        </w:tc>
      </w:tr>
    </w:tbl>
    <w:p>
      <w:pPr>
        <w:numPr>
          <w:ilvl w:val="0"/>
          <w:numId w:val="10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电流设置</w:t>
      </w:r>
    </w:p>
    <w:tbl>
      <w:tblPr>
        <w:tblStyle w:val="7"/>
        <w:tblW w:w="7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807"/>
        <w:gridCol w:w="1215"/>
        <w:gridCol w:w="1215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bookmarkStart w:id="26" w:name="_Toc3544_WPSOffice_Level2"/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输出峰值电流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输出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有效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电流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(A)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SW2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1.4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2.1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1.6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1.9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3.2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2.3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3.8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2.7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4.3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3.1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4.9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3.5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5.6</w:t>
            </w:r>
          </w:p>
        </w:tc>
        <w:tc>
          <w:tcPr>
            <w:tcW w:w="180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4.0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</w:tbl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静态电流设置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静态电流可用SW4拨码开关设定，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表示静态电流设为动态电流的一半，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on</w:t>
      </w:r>
      <w:r>
        <w:rPr>
          <w:rFonts w:hint="eastAsia" w:ascii="微软雅黑" w:hAnsi="微软雅黑" w:eastAsia="微软雅黑" w:cs="微软雅黑"/>
          <w:sz w:val="18"/>
          <w:szCs w:val="18"/>
        </w:rPr>
        <w:t>表示静态电流与动态电流相同。一般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使用中</w:t>
      </w:r>
      <w:r>
        <w:rPr>
          <w:rFonts w:hint="eastAsia" w:ascii="微软雅黑" w:hAnsi="微软雅黑" w:eastAsia="微软雅黑" w:cs="微软雅黑"/>
          <w:sz w:val="18"/>
          <w:szCs w:val="18"/>
        </w:rPr>
        <w:t>应将SW4设为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off</w:t>
      </w:r>
      <w:r>
        <w:rPr>
          <w:rFonts w:hint="eastAsia" w:ascii="微软雅黑" w:hAnsi="微软雅黑" w:eastAsia="微软雅黑" w:cs="微软雅黑"/>
          <w:sz w:val="18"/>
          <w:szCs w:val="18"/>
        </w:rPr>
        <w:t>，使得电机和驱动器的发热减少，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提高</w:t>
      </w:r>
      <w:r>
        <w:rPr>
          <w:rFonts w:hint="eastAsia" w:ascii="微软雅黑" w:hAnsi="微软雅黑" w:eastAsia="微软雅黑" w:cs="微软雅黑"/>
          <w:sz w:val="18"/>
          <w:szCs w:val="18"/>
        </w:rPr>
        <w:t>可靠性。脉冲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输入</w:t>
      </w:r>
      <w:r>
        <w:rPr>
          <w:rFonts w:hint="eastAsia" w:ascii="微软雅黑" w:hAnsi="微软雅黑" w:eastAsia="微软雅黑" w:cs="微软雅黑"/>
          <w:sz w:val="18"/>
          <w:szCs w:val="18"/>
        </w:rPr>
        <w:t>停止后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电流自动减至一半。</w:t>
      </w:r>
    </w:p>
    <w:p>
      <w:pPr>
        <w:numPr>
          <w:ilvl w:val="0"/>
          <w:numId w:val="11"/>
        </w:numPr>
        <w:spacing w:line="360" w:lineRule="auto"/>
        <w:jc w:val="left"/>
        <w:outlineLvl w:val="1"/>
        <w:rPr>
          <w:rFonts w:hint="eastAsia" w:ascii="微软雅黑" w:hAnsi="微软雅黑" w:eastAsia="微软雅黑" w:cs="微软雅黑"/>
          <w:b/>
          <w:bCs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</w:rPr>
        <w:t>细分</w:t>
      </w:r>
      <w:bookmarkEnd w:id="26"/>
      <w:r>
        <w:rPr>
          <w:rFonts w:hint="eastAsia" w:ascii="微软雅黑" w:hAnsi="微软雅黑" w:eastAsia="微软雅黑" w:cs="微软雅黑"/>
          <w:b/>
          <w:bCs/>
          <w:sz w:val="24"/>
          <w:lang w:eastAsia="zh-CN"/>
        </w:rPr>
        <w:t>设置</w:t>
      </w:r>
    </w:p>
    <w:tbl>
      <w:tblPr>
        <w:tblStyle w:val="7"/>
        <w:tblW w:w="7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08"/>
        <w:gridCol w:w="1508"/>
        <w:gridCol w:w="150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步数/转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SW5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SW6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SW7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SW8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3200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6400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12800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25600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4000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8000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on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7" w:type="dxa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25000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off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eastAsia="zh-CN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7" w:name="_Toc25986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供电电源选择</w:t>
      </w:r>
      <w:bookmarkEnd w:id="27"/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电源电压在规定范围之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内</w:t>
      </w:r>
      <w:r>
        <w:rPr>
          <w:rFonts w:hint="eastAsia" w:ascii="微软雅黑" w:hAnsi="微软雅黑" w:eastAsia="微软雅黑" w:cs="微软雅黑"/>
          <w:sz w:val="18"/>
          <w:szCs w:val="18"/>
        </w:rPr>
        <w:t>都可以正常工作，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DMA856S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可采用变压器供电，建议变压器的交流输出电压</w:t>
      </w:r>
      <w:r>
        <w:rPr>
          <w:rFonts w:hint="eastAsia" w:ascii="微软雅黑" w:hAnsi="微软雅黑" w:eastAsia="微软雅黑" w:cs="微软雅黑"/>
          <w:sz w:val="18"/>
          <w:szCs w:val="18"/>
        </w:rPr>
        <w:t>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。DMA856S</w:t>
      </w:r>
      <w:r>
        <w:rPr>
          <w:rFonts w:hint="eastAsia" w:ascii="微软雅黑" w:hAnsi="微软雅黑" w:eastAsia="微软雅黑" w:cs="微软雅黑"/>
          <w:sz w:val="18"/>
          <w:szCs w:val="18"/>
        </w:rPr>
        <w:t>驱动器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也可以</w:t>
      </w:r>
      <w:r>
        <w:rPr>
          <w:rFonts w:hint="eastAsia" w:ascii="微软雅黑" w:hAnsi="微软雅黑" w:eastAsia="微软雅黑" w:cs="微软雅黑"/>
          <w:sz w:val="18"/>
          <w:szCs w:val="18"/>
        </w:rPr>
        <w:t>采用非稳压型直流电源供电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但注意应使整流后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的</w:t>
      </w:r>
      <w:r>
        <w:rPr>
          <w:rFonts w:hint="eastAsia" w:ascii="微软雅黑" w:hAnsi="微软雅黑" w:eastAsia="微软雅黑" w:cs="微软雅黑"/>
          <w:sz w:val="18"/>
          <w:szCs w:val="18"/>
        </w:rPr>
        <w:t>电压纹波峰值不超过其规定的最大电压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z w:val="18"/>
          <w:szCs w:val="18"/>
        </w:rPr>
        <w:t>建议用户使用低于最大电压的直流电压供电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，避免电网波动超过驱动器的工作电压范围</w:t>
      </w:r>
      <w:r>
        <w:rPr>
          <w:rFonts w:hint="eastAsia" w:ascii="微软雅黑" w:hAnsi="微软雅黑" w:eastAsia="微软雅黑" w:cs="微软雅黑"/>
          <w:sz w:val="18"/>
          <w:szCs w:val="18"/>
        </w:rPr>
        <w:t>。</w:t>
      </w:r>
    </w:p>
    <w:p>
      <w:p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如果使用稳压型开关电源供电，应注意开关电源的输出电流范围需设成最大。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ascii="微软雅黑" w:hAnsi="微软雅黑" w:eastAsia="微软雅黑" w:cs="微软雅黑"/>
          <w:b/>
          <w:bCs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▶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注意：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接线时要注意电源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接口的位置，切勿接到电机端口上，接好后最好再次确认是否接正确</w:t>
      </w:r>
      <w:r>
        <w:rPr>
          <w:rFonts w:hint="eastAsia" w:ascii="微软雅黑" w:hAnsi="微软雅黑" w:eastAsia="微软雅黑" w:cs="微软雅黑"/>
          <w:sz w:val="18"/>
          <w:szCs w:val="18"/>
        </w:rPr>
        <w:t>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最好用非稳压型电源；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采用非稳压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电源时，电源电流输出能力应大于驱动器设定电流的60%即可；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采用稳压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型</w:t>
      </w:r>
      <w:r>
        <w:rPr>
          <w:rFonts w:hint="eastAsia" w:ascii="微软雅黑" w:hAnsi="微软雅黑" w:eastAsia="微软雅黑" w:cs="微软雅黑"/>
          <w:sz w:val="18"/>
          <w:szCs w:val="18"/>
        </w:rPr>
        <w:t>开关电源时，电源的输出电流应大于或等于驱动器的工作电流；</w:t>
      </w:r>
    </w:p>
    <w:p>
      <w:pPr>
        <w:numPr>
          <w:ilvl w:val="0"/>
          <w:numId w:val="12"/>
        </w:numPr>
        <w:spacing w:line="360" w:lineRule="auto"/>
        <w:ind w:firstLine="360" w:firstLineChars="200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为降低成本，两三个驱动器可共用一个电源，但应保证电源功率足够大。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9"/>
        </w:numPr>
        <w:spacing w:line="360" w:lineRule="auto"/>
        <w:jc w:val="left"/>
        <w:outlineLvl w:val="0"/>
        <w:rPr>
          <w:rFonts w:ascii="微软雅黑" w:hAnsi="微软雅黑" w:eastAsia="微软雅黑" w:cs="微软雅黑"/>
          <w:b/>
          <w:bCs/>
          <w:sz w:val="28"/>
          <w:szCs w:val="28"/>
        </w:rPr>
      </w:pPr>
      <w:bookmarkStart w:id="28" w:name="_Toc28989_WPSOffice_Level1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保护功能</w:t>
      </w:r>
      <w:bookmarkEnd w:id="28"/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1"/>
        <w:rPr>
          <w:rFonts w:ascii="微软雅黑" w:hAnsi="微软雅黑" w:eastAsia="微软雅黑" w:cs="微软雅黑"/>
          <w:b/>
          <w:bCs/>
          <w:sz w:val="24"/>
        </w:rPr>
      </w:pPr>
      <w:bookmarkStart w:id="29" w:name="_Toc20685_WPSOffice_Level2"/>
      <w:bookmarkStart w:id="30" w:name="_Toc15522_WPSOffice_Level2"/>
      <w:r>
        <w:rPr>
          <w:rFonts w:hint="eastAsia" w:ascii="微软雅黑" w:hAnsi="微软雅黑" w:eastAsia="微软雅黑" w:cs="微软雅黑"/>
          <w:b/>
          <w:bCs/>
          <w:sz w:val="24"/>
        </w:rPr>
        <w:t>短路保护</w:t>
      </w:r>
      <w:bookmarkEnd w:id="29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当发生相间短路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18"/>
          <w:szCs w:val="18"/>
        </w:rPr>
        <w:t>驱动器内部过流时，驱动器红灯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1次，且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过压保护</w:t>
      </w:r>
      <w:bookmarkEnd w:id="30"/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当输入电压高于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 80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 55V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2次，且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  <w:t>压保护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当输入电压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低于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DC20</w:t>
      </w:r>
      <w:r>
        <w:rPr>
          <w:rFonts w:hint="eastAsia" w:ascii="微软雅黑" w:hAnsi="微软雅黑" w:eastAsia="微软雅黑" w:cs="微软雅黑"/>
          <w:sz w:val="18"/>
          <w:szCs w:val="18"/>
        </w:rPr>
        <w:t>V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或AC18V</w:t>
      </w:r>
      <w:r>
        <w:rPr>
          <w:rFonts w:hint="eastAsia" w:ascii="微软雅黑" w:hAnsi="微软雅黑" w:eastAsia="微软雅黑" w:cs="微软雅黑"/>
          <w:sz w:val="18"/>
          <w:szCs w:val="18"/>
        </w:rPr>
        <w:t>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  <w:bookmarkStart w:id="31" w:name="_GoBack"/>
      <w:bookmarkEnd w:id="31"/>
    </w:p>
    <w:p>
      <w:pPr>
        <w:pStyle w:val="4"/>
        <w:numPr>
          <w:ilvl w:val="0"/>
          <w:numId w:val="13"/>
        </w:numPr>
        <w:outlineLvl w:val="1"/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sz w:val="24"/>
          <w:szCs w:val="24"/>
          <w:lang w:eastAsia="zh-CN"/>
        </w:rPr>
        <w:t>缺相保护</w:t>
      </w:r>
    </w:p>
    <w:p>
      <w:pPr>
        <w:spacing w:line="360" w:lineRule="auto"/>
        <w:ind w:firstLine="360" w:firstLineChars="20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上电初始，电机缺相</w:t>
      </w:r>
      <w:r>
        <w:rPr>
          <w:rFonts w:hint="eastAsia" w:ascii="微软雅黑" w:hAnsi="微软雅黑" w:eastAsia="微软雅黑" w:cs="微软雅黑"/>
          <w:sz w:val="18"/>
          <w:szCs w:val="18"/>
        </w:rPr>
        <w:t>时，驱动器红灯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>次，且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以</w:t>
      </w:r>
      <w:r>
        <w:rPr>
          <w:rFonts w:hint="eastAsia" w:ascii="微软雅黑" w:hAnsi="微软雅黑" w:eastAsia="微软雅黑" w:cs="微软雅黑"/>
          <w:sz w:val="18"/>
          <w:szCs w:val="18"/>
        </w:rPr>
        <w:t>3秒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为周期</w:t>
      </w:r>
      <w:r>
        <w:rPr>
          <w:rFonts w:hint="eastAsia" w:ascii="微软雅黑" w:hAnsi="微软雅黑" w:eastAsia="微软雅黑" w:cs="微软雅黑"/>
          <w:sz w:val="18"/>
          <w:szCs w:val="18"/>
        </w:rPr>
        <w:t>反复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闪烁</w:t>
      </w:r>
      <w:r>
        <w:rPr>
          <w:rFonts w:hint="eastAsia" w:ascii="微软雅黑" w:hAnsi="微软雅黑" w:eastAsia="微软雅黑" w:cs="微软雅黑"/>
          <w:sz w:val="18"/>
          <w:szCs w:val="18"/>
        </w:rPr>
        <w:t>。此时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18"/>
          <w:szCs w:val="18"/>
        </w:rPr>
        <w:t>必须排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除</w:t>
      </w:r>
      <w:r>
        <w:rPr>
          <w:rFonts w:hint="eastAsia" w:ascii="微软雅黑" w:hAnsi="微软雅黑" w:eastAsia="微软雅黑" w:cs="微软雅黑"/>
          <w:sz w:val="18"/>
          <w:szCs w:val="18"/>
        </w:rPr>
        <w:t>故障，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重新</w:t>
      </w:r>
      <w:r>
        <w:rPr>
          <w:rFonts w:hint="eastAsia" w:ascii="微软雅黑" w:hAnsi="微软雅黑" w:eastAsia="微软雅黑" w:cs="微软雅黑"/>
          <w:sz w:val="18"/>
          <w:szCs w:val="18"/>
        </w:rPr>
        <w:t>上电复位。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ptab w:relativeTo="margin" w:alignment="left" w:leader="none"/>
    </w:r>
    <w:r>
      <w:rPr>
        <w:rFonts w:hint="eastAsia"/>
      </w:rPr>
      <w:t xml:space="preserve">                  </w:t>
    </w:r>
    <w:r>
      <w:rPr>
        <w:rFonts w:hint="eastAsia"/>
        <w:lang w:val="en-US" w:eastAsia="zh-CN"/>
      </w:rPr>
      <w:t xml:space="preserve">                 DMA856S</w:t>
    </w:r>
    <w:r>
      <w:rPr>
        <w:rFonts w:hint="eastAsia"/>
      </w:rPr>
      <w:t>数字式两相步进驱动器使用说明书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454E5"/>
    <w:multiLevelType w:val="singleLevel"/>
    <w:tmpl w:val="80D454E5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815515F3"/>
    <w:multiLevelType w:val="singleLevel"/>
    <w:tmpl w:val="81551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60F7B60"/>
    <w:multiLevelType w:val="singleLevel"/>
    <w:tmpl w:val="860F7B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95E7FA3"/>
    <w:multiLevelType w:val="singleLevel"/>
    <w:tmpl w:val="995E7F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A329F92A"/>
    <w:multiLevelType w:val="singleLevel"/>
    <w:tmpl w:val="A329F92A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3B11D65"/>
    <w:multiLevelType w:val="singleLevel"/>
    <w:tmpl w:val="A3B11D65"/>
    <w:lvl w:ilvl="0" w:tentative="0">
      <w:start w:val="2"/>
      <w:numFmt w:val="decimal"/>
      <w:suff w:val="space"/>
      <w:lvlText w:val="%1."/>
      <w:lvlJc w:val="left"/>
    </w:lvl>
  </w:abstractNum>
  <w:abstractNum w:abstractNumId="6">
    <w:nsid w:val="B885EFAD"/>
    <w:multiLevelType w:val="singleLevel"/>
    <w:tmpl w:val="B885EFAD"/>
    <w:lvl w:ilvl="0" w:tentative="0">
      <w:start w:val="1"/>
      <w:numFmt w:val="decimal"/>
      <w:suff w:val="nothing"/>
      <w:lvlText w:val="%1）"/>
      <w:lvlJc w:val="left"/>
    </w:lvl>
  </w:abstractNum>
  <w:abstractNum w:abstractNumId="7">
    <w:nsid w:val="F75F7260"/>
    <w:multiLevelType w:val="singleLevel"/>
    <w:tmpl w:val="F75F726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C39F82F"/>
    <w:multiLevelType w:val="singleLevel"/>
    <w:tmpl w:val="0C39F8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DF1D425"/>
    <w:multiLevelType w:val="singleLevel"/>
    <w:tmpl w:val="1DF1D425"/>
    <w:lvl w:ilvl="0" w:tentative="0">
      <w:start w:val="1"/>
      <w:numFmt w:val="decimal"/>
      <w:suff w:val="nothing"/>
      <w:lvlText w:val="%1）"/>
      <w:lvlJc w:val="left"/>
    </w:lvl>
  </w:abstractNum>
  <w:abstractNum w:abstractNumId="10">
    <w:nsid w:val="2EBC12BB"/>
    <w:multiLevelType w:val="singleLevel"/>
    <w:tmpl w:val="2EBC12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9BF6955"/>
    <w:multiLevelType w:val="singleLevel"/>
    <w:tmpl w:val="49BF6955"/>
    <w:lvl w:ilvl="0" w:tentative="0">
      <w:start w:val="1"/>
      <w:numFmt w:val="decimal"/>
      <w:suff w:val="nothing"/>
      <w:lvlText w:val="%1）"/>
      <w:lvlJc w:val="left"/>
    </w:lvl>
  </w:abstractNum>
  <w:abstractNum w:abstractNumId="12">
    <w:nsid w:val="4B9A7A21"/>
    <w:multiLevelType w:val="singleLevel"/>
    <w:tmpl w:val="4B9A7A21"/>
    <w:lvl w:ilvl="0" w:tentative="0">
      <w:start w:val="1"/>
      <w:numFmt w:val="decimal"/>
      <w:suff w:val="nothing"/>
      <w:lvlText w:val="%1）"/>
      <w:lvlJc w:val="left"/>
      <w:pPr>
        <w:ind w:left="140" w:firstLine="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2ODlmYjQ3MTY1MWM4MGI5Y2QxMTBkMjkzMWQyYjUifQ=="/>
  </w:docVars>
  <w:rsids>
    <w:rsidRoot w:val="1FEA7CD7"/>
    <w:rsid w:val="00256DC5"/>
    <w:rsid w:val="00282BD8"/>
    <w:rsid w:val="005117AD"/>
    <w:rsid w:val="005659D2"/>
    <w:rsid w:val="00AA1894"/>
    <w:rsid w:val="00CA1C1D"/>
    <w:rsid w:val="01166072"/>
    <w:rsid w:val="016075F7"/>
    <w:rsid w:val="01F05290"/>
    <w:rsid w:val="02164017"/>
    <w:rsid w:val="024E444B"/>
    <w:rsid w:val="03295D54"/>
    <w:rsid w:val="03777556"/>
    <w:rsid w:val="03B3128C"/>
    <w:rsid w:val="040D4F60"/>
    <w:rsid w:val="048A33E1"/>
    <w:rsid w:val="05027B01"/>
    <w:rsid w:val="06FC2926"/>
    <w:rsid w:val="0749172E"/>
    <w:rsid w:val="07E05125"/>
    <w:rsid w:val="08224B57"/>
    <w:rsid w:val="084176A2"/>
    <w:rsid w:val="090A360A"/>
    <w:rsid w:val="094C2972"/>
    <w:rsid w:val="0A09616F"/>
    <w:rsid w:val="0AF03078"/>
    <w:rsid w:val="0B395E29"/>
    <w:rsid w:val="0B8966B9"/>
    <w:rsid w:val="0BC772B9"/>
    <w:rsid w:val="0C4176E6"/>
    <w:rsid w:val="0C9A19B5"/>
    <w:rsid w:val="0D657C70"/>
    <w:rsid w:val="0DE756C2"/>
    <w:rsid w:val="0E027068"/>
    <w:rsid w:val="0E1B70DF"/>
    <w:rsid w:val="0E6938B0"/>
    <w:rsid w:val="0FC7273D"/>
    <w:rsid w:val="0FD7644E"/>
    <w:rsid w:val="0FE92A55"/>
    <w:rsid w:val="10E24495"/>
    <w:rsid w:val="1201768F"/>
    <w:rsid w:val="1262767B"/>
    <w:rsid w:val="12AA5200"/>
    <w:rsid w:val="12E723E3"/>
    <w:rsid w:val="12EC1659"/>
    <w:rsid w:val="136876CA"/>
    <w:rsid w:val="14601D26"/>
    <w:rsid w:val="15203753"/>
    <w:rsid w:val="15906837"/>
    <w:rsid w:val="15C93214"/>
    <w:rsid w:val="17AC2932"/>
    <w:rsid w:val="17B711F6"/>
    <w:rsid w:val="17F23324"/>
    <w:rsid w:val="17F64D32"/>
    <w:rsid w:val="18395E6A"/>
    <w:rsid w:val="18B721F4"/>
    <w:rsid w:val="18CE4743"/>
    <w:rsid w:val="19762BE9"/>
    <w:rsid w:val="1A3578AB"/>
    <w:rsid w:val="1ABA34B1"/>
    <w:rsid w:val="1AC577AB"/>
    <w:rsid w:val="1B070BAF"/>
    <w:rsid w:val="1B077B9A"/>
    <w:rsid w:val="1B086C47"/>
    <w:rsid w:val="1B1B26AB"/>
    <w:rsid w:val="1B93217F"/>
    <w:rsid w:val="1B954582"/>
    <w:rsid w:val="1C2C4754"/>
    <w:rsid w:val="1C63260E"/>
    <w:rsid w:val="1C6D64AE"/>
    <w:rsid w:val="1CA66953"/>
    <w:rsid w:val="1CB765CD"/>
    <w:rsid w:val="1D0B6946"/>
    <w:rsid w:val="1D545A68"/>
    <w:rsid w:val="1D6D1C06"/>
    <w:rsid w:val="1DBD052D"/>
    <w:rsid w:val="1E237BDA"/>
    <w:rsid w:val="1E58377A"/>
    <w:rsid w:val="1E6A4918"/>
    <w:rsid w:val="1E9E5DD9"/>
    <w:rsid w:val="1EDC7F5E"/>
    <w:rsid w:val="1F347012"/>
    <w:rsid w:val="1F794A03"/>
    <w:rsid w:val="1FEA7CD7"/>
    <w:rsid w:val="205765BD"/>
    <w:rsid w:val="205D0C1A"/>
    <w:rsid w:val="20EF1098"/>
    <w:rsid w:val="21210377"/>
    <w:rsid w:val="215E2969"/>
    <w:rsid w:val="21860403"/>
    <w:rsid w:val="218D6EE4"/>
    <w:rsid w:val="21A70966"/>
    <w:rsid w:val="22605BD5"/>
    <w:rsid w:val="226927C7"/>
    <w:rsid w:val="23352742"/>
    <w:rsid w:val="2369509F"/>
    <w:rsid w:val="23746B52"/>
    <w:rsid w:val="23D92C3D"/>
    <w:rsid w:val="24F074F3"/>
    <w:rsid w:val="26265A6B"/>
    <w:rsid w:val="265540D0"/>
    <w:rsid w:val="269B69A9"/>
    <w:rsid w:val="26E5451C"/>
    <w:rsid w:val="281A542B"/>
    <w:rsid w:val="282A7DE1"/>
    <w:rsid w:val="28583EE1"/>
    <w:rsid w:val="29106383"/>
    <w:rsid w:val="29196625"/>
    <w:rsid w:val="29682341"/>
    <w:rsid w:val="29C95921"/>
    <w:rsid w:val="2A070884"/>
    <w:rsid w:val="2B290E8F"/>
    <w:rsid w:val="2B49288B"/>
    <w:rsid w:val="2B964A82"/>
    <w:rsid w:val="2C1061D3"/>
    <w:rsid w:val="2C455599"/>
    <w:rsid w:val="2D9F267E"/>
    <w:rsid w:val="2DA137B3"/>
    <w:rsid w:val="2DC16337"/>
    <w:rsid w:val="2DF62F96"/>
    <w:rsid w:val="2E4C159B"/>
    <w:rsid w:val="2EDC2251"/>
    <w:rsid w:val="2F286AB1"/>
    <w:rsid w:val="2FE437AA"/>
    <w:rsid w:val="30374B06"/>
    <w:rsid w:val="30A5467E"/>
    <w:rsid w:val="30FA6EDF"/>
    <w:rsid w:val="31037D6F"/>
    <w:rsid w:val="31EB0313"/>
    <w:rsid w:val="329F3DBD"/>
    <w:rsid w:val="32EA287E"/>
    <w:rsid w:val="3366351A"/>
    <w:rsid w:val="338B375B"/>
    <w:rsid w:val="33963801"/>
    <w:rsid w:val="34002070"/>
    <w:rsid w:val="340841AB"/>
    <w:rsid w:val="348D2076"/>
    <w:rsid w:val="34E16BF1"/>
    <w:rsid w:val="35804C39"/>
    <w:rsid w:val="36DF4823"/>
    <w:rsid w:val="36E23AD9"/>
    <w:rsid w:val="37FF61C0"/>
    <w:rsid w:val="380D3DE9"/>
    <w:rsid w:val="38BE0658"/>
    <w:rsid w:val="39A05C84"/>
    <w:rsid w:val="3A7E722A"/>
    <w:rsid w:val="3ACA0A79"/>
    <w:rsid w:val="3B6D2FA6"/>
    <w:rsid w:val="3CC61561"/>
    <w:rsid w:val="3CF20A41"/>
    <w:rsid w:val="3D1B2B4F"/>
    <w:rsid w:val="3D254B32"/>
    <w:rsid w:val="3D814925"/>
    <w:rsid w:val="3E2D0A5F"/>
    <w:rsid w:val="3E48642C"/>
    <w:rsid w:val="3F782E63"/>
    <w:rsid w:val="3F7D6C1D"/>
    <w:rsid w:val="3F8C3F8D"/>
    <w:rsid w:val="3FED3590"/>
    <w:rsid w:val="40911EE3"/>
    <w:rsid w:val="40E26D93"/>
    <w:rsid w:val="411D19BC"/>
    <w:rsid w:val="42122C99"/>
    <w:rsid w:val="42194590"/>
    <w:rsid w:val="424672CC"/>
    <w:rsid w:val="4251506E"/>
    <w:rsid w:val="425B4A3E"/>
    <w:rsid w:val="42D552D9"/>
    <w:rsid w:val="43926F31"/>
    <w:rsid w:val="43F123DA"/>
    <w:rsid w:val="43F2769A"/>
    <w:rsid w:val="44B42992"/>
    <w:rsid w:val="457B4BA0"/>
    <w:rsid w:val="46660CCB"/>
    <w:rsid w:val="46C96AF2"/>
    <w:rsid w:val="46D62EB0"/>
    <w:rsid w:val="46E26EC9"/>
    <w:rsid w:val="48A815E4"/>
    <w:rsid w:val="48E73C02"/>
    <w:rsid w:val="498B7DF6"/>
    <w:rsid w:val="4A830817"/>
    <w:rsid w:val="4B05560A"/>
    <w:rsid w:val="4B86304D"/>
    <w:rsid w:val="4BC9450C"/>
    <w:rsid w:val="4E40285F"/>
    <w:rsid w:val="4E47689E"/>
    <w:rsid w:val="4E6152C5"/>
    <w:rsid w:val="4F443DEB"/>
    <w:rsid w:val="4FFE310E"/>
    <w:rsid w:val="51395B37"/>
    <w:rsid w:val="514B133D"/>
    <w:rsid w:val="51920B86"/>
    <w:rsid w:val="51B6175E"/>
    <w:rsid w:val="51EC7A3A"/>
    <w:rsid w:val="5206023B"/>
    <w:rsid w:val="52347230"/>
    <w:rsid w:val="52607E5E"/>
    <w:rsid w:val="52B05517"/>
    <w:rsid w:val="53A243DD"/>
    <w:rsid w:val="53D5437F"/>
    <w:rsid w:val="53D66A7A"/>
    <w:rsid w:val="543215CD"/>
    <w:rsid w:val="54F61E2B"/>
    <w:rsid w:val="55C302E1"/>
    <w:rsid w:val="55C86740"/>
    <w:rsid w:val="55D472B2"/>
    <w:rsid w:val="563C5306"/>
    <w:rsid w:val="56C44F7F"/>
    <w:rsid w:val="572A5575"/>
    <w:rsid w:val="574B2B0C"/>
    <w:rsid w:val="578F332D"/>
    <w:rsid w:val="58A569A9"/>
    <w:rsid w:val="592143E7"/>
    <w:rsid w:val="59D033D4"/>
    <w:rsid w:val="5AA65DEB"/>
    <w:rsid w:val="5ABA6A37"/>
    <w:rsid w:val="5B345470"/>
    <w:rsid w:val="5B842F7F"/>
    <w:rsid w:val="5BAC4672"/>
    <w:rsid w:val="5C165CD4"/>
    <w:rsid w:val="5E8D5293"/>
    <w:rsid w:val="5F09549E"/>
    <w:rsid w:val="5F311774"/>
    <w:rsid w:val="5F6E0395"/>
    <w:rsid w:val="604F3769"/>
    <w:rsid w:val="61087544"/>
    <w:rsid w:val="61164EC7"/>
    <w:rsid w:val="612E1398"/>
    <w:rsid w:val="614841B3"/>
    <w:rsid w:val="62127904"/>
    <w:rsid w:val="62BB4BE5"/>
    <w:rsid w:val="637F2C3F"/>
    <w:rsid w:val="63C04060"/>
    <w:rsid w:val="63D45BF8"/>
    <w:rsid w:val="645E6D04"/>
    <w:rsid w:val="64AD6D92"/>
    <w:rsid w:val="64CE0AA2"/>
    <w:rsid w:val="65FB6A9E"/>
    <w:rsid w:val="67787FD4"/>
    <w:rsid w:val="67C8246C"/>
    <w:rsid w:val="67CD511C"/>
    <w:rsid w:val="6871307C"/>
    <w:rsid w:val="687617BD"/>
    <w:rsid w:val="68861124"/>
    <w:rsid w:val="68BC35D6"/>
    <w:rsid w:val="69036D6D"/>
    <w:rsid w:val="69DD2CE5"/>
    <w:rsid w:val="69E203AF"/>
    <w:rsid w:val="69F92C1A"/>
    <w:rsid w:val="6A1E307E"/>
    <w:rsid w:val="6B22446C"/>
    <w:rsid w:val="6BF00AFD"/>
    <w:rsid w:val="6C724482"/>
    <w:rsid w:val="6D460494"/>
    <w:rsid w:val="6DD34202"/>
    <w:rsid w:val="6DD70E35"/>
    <w:rsid w:val="6E392719"/>
    <w:rsid w:val="6E4C4CEB"/>
    <w:rsid w:val="6EAF5ECE"/>
    <w:rsid w:val="6EB72135"/>
    <w:rsid w:val="6F4552C5"/>
    <w:rsid w:val="6FC26DD3"/>
    <w:rsid w:val="706B5927"/>
    <w:rsid w:val="70E54314"/>
    <w:rsid w:val="71566622"/>
    <w:rsid w:val="71811EF5"/>
    <w:rsid w:val="71BB7EBD"/>
    <w:rsid w:val="72373462"/>
    <w:rsid w:val="73E5721F"/>
    <w:rsid w:val="74DF3DC6"/>
    <w:rsid w:val="752A6BA8"/>
    <w:rsid w:val="755E148F"/>
    <w:rsid w:val="75FD668C"/>
    <w:rsid w:val="772B4F7A"/>
    <w:rsid w:val="78216F7B"/>
    <w:rsid w:val="78A51BC3"/>
    <w:rsid w:val="78A820FE"/>
    <w:rsid w:val="78ED1B53"/>
    <w:rsid w:val="795B008D"/>
    <w:rsid w:val="79803217"/>
    <w:rsid w:val="79EE05E0"/>
    <w:rsid w:val="7A473776"/>
    <w:rsid w:val="7A992CF5"/>
    <w:rsid w:val="7AA41EB8"/>
    <w:rsid w:val="7AEF621C"/>
    <w:rsid w:val="7AF35ED4"/>
    <w:rsid w:val="7B8D4198"/>
    <w:rsid w:val="7B994F70"/>
    <w:rsid w:val="7BB9253D"/>
    <w:rsid w:val="7C101ADA"/>
    <w:rsid w:val="7C721993"/>
    <w:rsid w:val="7C9267BB"/>
    <w:rsid w:val="7CA35BD3"/>
    <w:rsid w:val="7D1F4FB6"/>
    <w:rsid w:val="7DE5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3017</Words>
  <Characters>3605</Characters>
  <Lines>62</Lines>
  <Paragraphs>17</Paragraphs>
  <TotalTime>6</TotalTime>
  <ScaleCrop>false</ScaleCrop>
  <LinksUpToDate>false</LinksUpToDate>
  <CharactersWithSpaces>3887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2019-03-20T05:43:00Z</dcterms:created>
  <dc:creator>青蓝科技</dc:creator>
  <cp:lastModifiedBy>大海-梦想的远方</cp:lastModifiedBy>
  <dcterms:modified xsi:type="dcterms:W3CDTF">2023-02-17T12:26:39Z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DACCFF6494534D919DF1A290094EBBB9</vt:lpwstr>
  </property>
</Properties>
</file>