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b/>
          <w:bCs/>
          <w:kern w:val="2"/>
          <w:sz w:val="21"/>
          <w:szCs w:val="24"/>
          <w:lang w:val="en-US" w:eastAsia="zh-CN" w:bidi="ar-SA"/>
        </w:rPr>
        <w:id w:val="147463071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微软雅黑" w:cs="Times New Roman"/>
          <w:b/>
          <w:bCs/>
          <w:kern w:val="2"/>
          <w:sz w:val="21"/>
          <w:szCs w:val="1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</w:rPr>
          </w:pPr>
          <w:bookmarkStart w:id="0" w:name="_Toc14787_WPSOffice_Level1"/>
          <w:bookmarkStart w:id="1" w:name="_Toc29222_WPSOffice_Level1"/>
          <w:r>
            <w:rPr>
              <w:rFonts w:ascii="宋体" w:hAnsi="宋体" w:eastAsia="宋体"/>
              <w:b/>
              <w:bCs/>
              <w:sz w:val="21"/>
            </w:rPr>
            <w:t>目录</w:t>
          </w:r>
        </w:p>
        <w:p>
          <w:pPr>
            <w:pStyle w:val="11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TOC \o "1-3" \h \u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_Toc8939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一、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产品简介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_Toc8939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_Toc2576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1.1 概述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_Toc2576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_Toc21998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1.2 特点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_Toc21998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_Toc25186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1.3 应用领域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_Toc25186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1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_Toc20755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二、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电气、机械和环境指标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_Toc20755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_Toc23620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2.1 电气指标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_Toc23620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_Toc14994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2.2 使用环境及参数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_Toc14994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_Toc20217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2.3 机械安装图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_Toc20217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_Toc14076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2.4 加强散热方式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_Toc14076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1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_Toc13760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三、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驱动器接口和接线介绍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_Toc13760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_Toc25026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3.1 接口描述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_Toc25026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3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_Toc16066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3.1.1 控制信号接口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_Toc16066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3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_Toc14044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3.1.2 强电接口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_Toc14044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_Toc19115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3.2 控制信号端接口示意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_Toc19115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_Toc24215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3.3 控制信号逻辑控制功能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_Toc24215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_Toc10680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3.4 自带加速功能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_Toc10680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_Toc5330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3.5 自带减速功能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_Toc5330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_Toc2688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3.6 指示灯状态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_Toc2688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_Toc28470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3.7 接线要求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_Toc28470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1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_Toc28613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四、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拨码开关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eastAsia="zh-CN"/>
            </w:rPr>
            <w:t>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设定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_Toc28613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_Toc8754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4.1 电流设置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_Toc8754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_Toc28175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4.2 静态电流设置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_Toc28175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_Toc8890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4.3 速度范围设置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_Toc8890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1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_Toc14050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五、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供电电源选择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_Toc14050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1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_Toc13086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六、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保护功能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_Toc13086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_Toc26309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6.1 过压保护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_Toc26309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_Toc7023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6.2 欠压保护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_Toc7023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pStyle w:val="12"/>
            <w:tabs>
              <w:tab w:val="right" w:leader="dot" w:pos="9638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HYPERLINK \l _Toc29823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6.3 缺相保护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_Toc29823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  <w:p>
          <w:pPr>
            <w:bidi w:val="0"/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</w:p>
      </w:sdtContent>
    </w:sdt>
    <w:p>
      <w:pPr>
        <w:bidi w:val="0"/>
        <w:rPr>
          <w:rFonts w:hint="default" w:ascii="Times New Roman" w:hAnsi="Times New Roman" w:eastAsia="微软雅黑" w:cs="Times New Roman"/>
          <w:sz w:val="18"/>
          <w:szCs w:val="18"/>
        </w:rPr>
      </w:pPr>
    </w:p>
    <w:bookmarkEnd w:id="0"/>
    <w:bookmarkEnd w:id="1"/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2" w:name="_Toc25850_WPSOffice_Level1"/>
      <w:bookmarkStart w:id="3" w:name="_Toc7553_WPSOffice_Level1"/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jc w:val="center"/>
        <w:rPr>
          <w:rFonts w:hint="default" w:ascii="Times New Roman" w:hAnsi="Times New Roman" w:eastAsia="微软雅黑" w:cs="Times New Roman"/>
          <w:b/>
          <w:bCs/>
          <w:sz w:val="32"/>
          <w:szCs w:val="32"/>
        </w:rPr>
      </w:pPr>
      <w:bookmarkStart w:id="4" w:name="_Toc29193"/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>DM456-V-24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</w:rPr>
        <w:t>数字式两相步进驱动器</w:t>
      </w:r>
      <w:bookmarkEnd w:id="2"/>
      <w:bookmarkEnd w:id="3"/>
      <w:bookmarkEnd w:id="4"/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5" w:name="_Toc8939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产品简介</w:t>
      </w:r>
      <w:bookmarkEnd w:id="5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6" w:name="_Toc2576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1.1 概述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</w:t>
      </w:r>
      <w:r>
        <w:rPr>
          <w:rFonts w:hint="default" w:ascii="Times New Roman" w:hAnsi="Times New Roman" w:eastAsia="微软雅黑" w:cs="Times New Roman"/>
          <w:sz w:val="18"/>
          <w:szCs w:val="18"/>
        </w:rPr>
        <w:t>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格睿物联技术有限公司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推出的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模拟量调速产品，可同时接两个电机实现同步调速功能。其外接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24V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启动和方向信号控制电机的启动和反转，电机运行速度通过外接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10K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电位器调节，最大运行速度通过拨码选择设置。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DM456-V-24驱动采用类伺服的控制原理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低中高速运行都很平稳，噪音小。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能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够</w:t>
      </w:r>
      <w:r>
        <w:rPr>
          <w:rFonts w:hint="default" w:ascii="Times New Roman" w:hAnsi="Times New Roman" w:eastAsia="微软雅黑" w:cs="Times New Roman"/>
          <w:sz w:val="18"/>
          <w:szCs w:val="18"/>
        </w:rPr>
        <w:t>满足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绝</w:t>
      </w:r>
      <w:r>
        <w:rPr>
          <w:rFonts w:hint="default" w:ascii="Times New Roman" w:hAnsi="Times New Roman" w:eastAsia="微软雅黑" w:cs="Times New Roman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DM456-V-24驱动器的正常驱动电压范围在DC24~50V，适配峰值电流在5.6A以下，外径42~86mm的两相混合式步进电机。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7" w:name="_Toc21998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1.2 特点</w:t>
      </w:r>
      <w:bookmarkEnd w:id="7"/>
    </w:p>
    <w:p>
      <w:pPr>
        <w:spacing w:line="360" w:lineRule="auto"/>
        <w:ind w:left="105" w:leftChars="5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●全新32位DSP技术                 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●可驱动4、6、8线两相步进电机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●内置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●静止时电流自动减半                   ●具有过压、欠压、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缺相</w:t>
      </w:r>
      <w:r>
        <w:rPr>
          <w:rFonts w:hint="default" w:ascii="Times New Roman" w:hAnsi="Times New Roman" w:eastAsia="微软雅黑" w:cs="Times New Roman"/>
          <w:sz w:val="18"/>
          <w:szCs w:val="18"/>
        </w:rPr>
        <w:t>等保护功能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8" w:name="_Toc25186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1.3 应用领域</w:t>
      </w:r>
      <w:bookmarkEnd w:id="8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9" w:name="_Toc20755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电气、机械和环境指标</w:t>
      </w:r>
      <w:bookmarkEnd w:id="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0" w:name="_Toc2362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2.1 电气指标</w:t>
      </w:r>
      <w:bookmarkEnd w:id="10"/>
    </w:p>
    <w:tbl>
      <w:tblPr>
        <w:tblStyle w:val="9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DM456-V-24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MΩ</w:t>
            </w:r>
          </w:p>
        </w:tc>
      </w:tr>
    </w:tbl>
    <w:p>
      <w:pPr>
        <w:bidi w:val="0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1" w:name="_Toc14994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2.2 使用环境及参数</w:t>
      </w:r>
      <w:bookmarkEnd w:id="11"/>
    </w:p>
    <w:tbl>
      <w:tblPr>
        <w:tblStyle w:val="9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-20℃~65℃</w:t>
            </w: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2" w:name="_Toc20217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2.3 机械安装图</w:t>
      </w:r>
      <w:bookmarkEnd w:id="12"/>
    </w:p>
    <w:p>
      <w:pPr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158490" cy="5661025"/>
            <wp:effectExtent l="0" t="0" r="3810" b="15875"/>
            <wp:docPr id="2" name="图片 2" descr="1675944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5944100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    </w:t>
      </w:r>
      <w:bookmarkStart w:id="33" w:name="_GoBack"/>
      <w:bookmarkEnd w:id="33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704975" cy="5438775"/>
            <wp:effectExtent l="0" t="0" r="9525" b="9525"/>
            <wp:docPr id="9" name="图片 9" descr="167594416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759441672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3" w:name="_Toc14076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2.4 加强散热方式</w:t>
      </w:r>
      <w:bookmarkEnd w:id="13"/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建议使用时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选择自动半流方式，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即电机</w:t>
      </w:r>
      <w:r>
        <w:rPr>
          <w:rFonts w:hint="default" w:ascii="Times New Roman" w:hAnsi="Times New Roman" w:eastAsia="微软雅黑" w:cs="Times New Roman"/>
          <w:sz w:val="18"/>
          <w:szCs w:val="18"/>
        </w:rPr>
        <w:t>停止时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安装驱动器时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请采用侧面安装，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并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使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驱动器底面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形成较强的空气对流；必要时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机内靠近驱动器处安装风扇，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形成空气对流，辅助驱动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散热，保证驱动器在可靠工作温度范围内工作。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14" w:name="_Toc13760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驱动器接口和接线介绍</w:t>
      </w:r>
      <w:bookmarkEnd w:id="1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5" w:name="_Toc25026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3.1 接口描述</w:t>
      </w:r>
      <w:bookmarkEnd w:id="15"/>
    </w:p>
    <w:p>
      <w:pPr>
        <w:pStyle w:val="4"/>
        <w:bidi w:val="0"/>
        <w:spacing w:before="0" w:beforeLines="-2147483648" w:beforeAutospacing="0" w:after="0" w:afterLines="-2147483648" w:afterAutospacing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16" w:name="_Toc16066"/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3.1.1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控制信号接口</w:t>
      </w:r>
      <w:bookmarkEnd w:id="16"/>
    </w:p>
    <w:tbl>
      <w:tblPr>
        <w:tblStyle w:val="9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904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9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功能</w:t>
            </w:r>
          </w:p>
        </w:tc>
        <w:tc>
          <w:tcPr>
            <w:tcW w:w="390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OPTO</w:t>
            </w:r>
          </w:p>
        </w:tc>
        <w:tc>
          <w:tcPr>
            <w:tcW w:w="3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控制信号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(ENA、DIR)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公共端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接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+24V信号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DIR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-</w:t>
            </w:r>
          </w:p>
        </w:tc>
        <w:tc>
          <w:tcPr>
            <w:tcW w:w="3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方向信号输入负端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ENA-有效，DIR-也有效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电机反转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ENA-</w:t>
            </w:r>
          </w:p>
        </w:tc>
        <w:tc>
          <w:tcPr>
            <w:tcW w:w="3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启动信号输入负端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ENA-有效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电机启动运行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+3.3V</w:t>
            </w:r>
          </w:p>
        </w:tc>
        <w:tc>
          <w:tcPr>
            <w:tcW w:w="3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接电位器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(注)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端口</w:t>
            </w:r>
          </w:p>
        </w:tc>
        <w:tc>
          <w:tcPr>
            <w:tcW w:w="39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电位器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A端和C端接线可互换，具体的客户可根据现场实际应用进行接线。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AIN</w:t>
            </w:r>
          </w:p>
        </w:tc>
        <w:tc>
          <w:tcPr>
            <w:tcW w:w="3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接电位器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(注)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接口</w:t>
            </w:r>
          </w:p>
        </w:tc>
        <w:tc>
          <w:tcPr>
            <w:tcW w:w="390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3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接电位器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(注)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接口</w:t>
            </w:r>
          </w:p>
        </w:tc>
        <w:tc>
          <w:tcPr>
            <w:tcW w:w="390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="140" w:leftChars="0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注：电位器接口示意图如下所示：</w:t>
      </w:r>
    </w:p>
    <w:p>
      <w:pPr>
        <w:numPr>
          <w:ilvl w:val="0"/>
          <w:numId w:val="0"/>
        </w:numPr>
        <w:spacing w:line="360" w:lineRule="auto"/>
        <w:ind w:left="140" w:leftChars="0"/>
        <w:jc w:val="center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drawing>
          <wp:inline distT="0" distB="0" distL="114300" distR="114300">
            <wp:extent cx="4152900" cy="2707005"/>
            <wp:effectExtent l="0" t="0" r="0" b="17145"/>
            <wp:docPr id="8" name="图片 8" descr="电位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电位器2"/>
                    <pic:cNvPicPr>
                      <a:picLocks noChangeAspect="1"/>
                    </pic:cNvPicPr>
                  </pic:nvPicPr>
                  <pic:blipFill>
                    <a:blip r:embed="rId8"/>
                    <a:srcRect t="453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bidi w:val="0"/>
        <w:spacing w:before="0" w:beforeLines="-2147483648" w:beforeAutospacing="0" w:after="0" w:afterLines="-2147483648" w:afterAutospacing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17" w:name="_Toc14044"/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3.1.2 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强电接口</w:t>
      </w:r>
      <w:bookmarkEnd w:id="17"/>
    </w:p>
    <w:tbl>
      <w:tblPr>
        <w:tblStyle w:val="9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825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功能</w:t>
            </w:r>
          </w:p>
        </w:tc>
        <w:tc>
          <w:tcPr>
            <w:tcW w:w="3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GND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直流电源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负端</w:t>
            </w:r>
          </w:p>
        </w:tc>
        <w:tc>
          <w:tcPr>
            <w:tcW w:w="38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~50V，推荐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+24V、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+V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直流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正端</w:t>
            </w:r>
          </w:p>
        </w:tc>
        <w:tc>
          <w:tcPr>
            <w:tcW w:w="38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A+、A-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电机A相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输出端</w:t>
            </w:r>
          </w:p>
        </w:tc>
        <w:tc>
          <w:tcPr>
            <w:tcW w:w="3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接电机A相线圈，注意相序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B+、B-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电机B相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输出端</w:t>
            </w:r>
          </w:p>
        </w:tc>
        <w:tc>
          <w:tcPr>
            <w:tcW w:w="3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接电机B相线圈，注意相序</w:t>
            </w:r>
          </w:p>
        </w:tc>
      </w:tr>
    </w:tbl>
    <w:p>
      <w:pPr>
        <w:bidi w:val="0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8" w:name="_Toc1911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3.2 控制信号端接口示意</w:t>
      </w:r>
      <w:bookmarkEnd w:id="18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控制信号端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共阳式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接口，内置光电耦合器，在环境恶劣的场合，抗干扰能力强。接口电路示意图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如下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所示。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szCs w:val="21"/>
          <w:lang w:val="en-US" w:eastAsia="zh-CN"/>
        </w:rPr>
        <w:drawing>
          <wp:inline distT="0" distB="0" distL="114300" distR="114300">
            <wp:extent cx="4095750" cy="4236085"/>
            <wp:effectExtent l="0" t="0" r="0" b="12065"/>
            <wp:docPr id="10" name="图片 10" descr="控制端接线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控制端接线示意图"/>
                    <pic:cNvPicPr>
                      <a:picLocks noChangeAspect="1"/>
                    </pic:cNvPicPr>
                  </pic:nvPicPr>
                  <pic:blipFill>
                    <a:blip r:embed="rId9"/>
                    <a:srcRect b="773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图2  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接口电路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DM456-V-24信号端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24V控制，因此若需要5V信号控制，需跟本公司取得联系进行更改！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若直接将+3.3V接口与AIN口短接，则电机启动后将以当前拨码对应的最大速度运行！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9" w:name="_Toc2421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3.3 控制信号逻辑控制功能</w:t>
      </w:r>
      <w:bookmarkEnd w:id="1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可只带一个电机，也可同时带两个电机运行。其外接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+24V、ENA-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DIR-信号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控制电机的启动和反转，电机运行速度通过外接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10K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电位器调节，最大运行速度通过拨码选择设置。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当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ENA-端信号有效时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（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ENA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-为低电平）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，驱动器自发脉冲，电机启动运行；当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DIR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-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端信号有效时（DIR-为低电平），电机反转运行；当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ENA-端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信号无效时（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ENA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eastAsia="zh-CN"/>
        </w:rPr>
        <w:t>-为高电平），电机停止运行。电机旋转方向的控制逻辑，具体如下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所示。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DIR信号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ENA信号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旋转方向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无效</w:t>
            </w:r>
          </w:p>
        </w:tc>
        <w:tc>
          <w:tcPr>
            <w:tcW w:w="2841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无效</w:t>
            </w:r>
          </w:p>
        </w:tc>
        <w:tc>
          <w:tcPr>
            <w:tcW w:w="2841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停止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无效</w:t>
            </w:r>
          </w:p>
        </w:tc>
        <w:tc>
          <w:tcPr>
            <w:tcW w:w="28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有效</w:t>
            </w:r>
          </w:p>
        </w:tc>
        <w:tc>
          <w:tcPr>
            <w:tcW w:w="28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正方向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有效</w:t>
            </w:r>
          </w:p>
        </w:tc>
        <w:tc>
          <w:tcPr>
            <w:tcW w:w="28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无效</w:t>
            </w:r>
          </w:p>
        </w:tc>
        <w:tc>
          <w:tcPr>
            <w:tcW w:w="28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停止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有效</w:t>
            </w:r>
          </w:p>
        </w:tc>
        <w:tc>
          <w:tcPr>
            <w:tcW w:w="28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有效</w:t>
            </w:r>
          </w:p>
        </w:tc>
        <w:tc>
          <w:tcPr>
            <w:tcW w:w="28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eastAsia="zh-CN"/>
              </w:rPr>
              <w:t>反方向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：上表所示旋转方向仅供参考，实际旋转方向跟电机的接线方法有关，客户可依据现场实际情况自行调整。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电机运行速度通过外接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10K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电位器调节，最大运行速度通过拨码选择设置。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0" w:name="_Toc1068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3.4 自带加速功能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所有速度档均自带加速，加速时间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约为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1000</w:t>
      </w:r>
      <w:r>
        <w:rPr>
          <w:rFonts w:hint="default" w:ascii="Times New Roman" w:hAnsi="Times New Roman" w:eastAsia="微软雅黑" w:cs="Times New Roman"/>
          <w:sz w:val="18"/>
          <w:szCs w:val="18"/>
        </w:rPr>
        <w:t>ms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，若客户想自行设置加速时间，可通过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PC端软件进行设置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1" w:name="_Toc533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3.5 自带减速功能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所有速度档均自带加速，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减速</w:t>
      </w:r>
      <w:r>
        <w:rPr>
          <w:rFonts w:hint="default" w:ascii="Times New Roman" w:hAnsi="Times New Roman" w:eastAsia="微软雅黑" w:cs="Times New Roman"/>
          <w:sz w:val="18"/>
          <w:szCs w:val="18"/>
        </w:rPr>
        <w:t>时间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约为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200</w:t>
      </w:r>
      <w:r>
        <w:rPr>
          <w:rFonts w:hint="default" w:ascii="Times New Roman" w:hAnsi="Times New Roman" w:eastAsia="微软雅黑" w:cs="Times New Roman"/>
          <w:sz w:val="18"/>
          <w:szCs w:val="18"/>
        </w:rPr>
        <w:t>ms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，若客户想自行设置减速时间，可通过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PC端软件进行设置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2" w:name="_Toc2688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3.6 指示灯状态</w:t>
      </w:r>
      <w:bookmarkEnd w:id="22"/>
    </w:p>
    <w:p>
      <w:pPr>
        <w:spacing w:line="360" w:lineRule="auto"/>
        <w:ind w:left="142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绿色LED为电源指示灯，当驱动器接通电源时，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该</w:t>
      </w:r>
      <w:r>
        <w:rPr>
          <w:rFonts w:hint="default" w:ascii="Times New Roman" w:hAnsi="Times New Roman" w:eastAsia="微软雅黑" w:cs="Times New Roman"/>
          <w:sz w:val="18"/>
          <w:szCs w:val="18"/>
        </w:rPr>
        <w:t>LED常亮；当驱动器切断电源时，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该</w:t>
      </w:r>
      <w:r>
        <w:rPr>
          <w:rFonts w:hint="default" w:ascii="Times New Roman" w:hAnsi="Times New Roman" w:eastAsia="微软雅黑" w:cs="Times New Roman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</w:p>
    <w:tbl>
      <w:tblPr>
        <w:tblStyle w:val="9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电机开路（缺相）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3" w:name="_Toc2847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3.7 接线要求</w:t>
      </w:r>
      <w:bookmarkEnd w:id="23"/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严禁带电拔插驱动器强电端子，带电的电机停止时仍有大电流流过线圈，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接线线头不能裸露在端子外，以防意外短路而损坏驱动器。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24" w:name="_Toc28613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拨码开关</w:t>
      </w:r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eastAsia="zh-CN"/>
        </w:rPr>
        <w:t>功能</w:t>
      </w:r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设定</w:t>
      </w:r>
      <w:bookmarkEnd w:id="24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位拨码开关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SW1-SW3用于设置电流，SW4-SW6用于设置最大速度。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详细描述如下：</w:t>
      </w:r>
    </w:p>
    <w:tbl>
      <w:tblPr>
        <w:tblStyle w:val="9"/>
        <w:tblW w:w="5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eastAsia="zh-CN"/>
              </w:rPr>
              <w:t>速度范围设置</w:t>
            </w: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5" w:name="_Toc8754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4.1 电流设置</w:t>
      </w:r>
      <w:bookmarkEnd w:id="25"/>
    </w:p>
    <w:tbl>
      <w:tblPr>
        <w:tblStyle w:val="9"/>
        <w:tblW w:w="8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28"/>
        <w:gridCol w:w="945"/>
        <w:gridCol w:w="945"/>
        <w:gridCol w:w="946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输出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电流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SW3</w:t>
            </w:r>
          </w:p>
        </w:tc>
        <w:tc>
          <w:tcPr>
            <w:tcW w:w="238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电流自设定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2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当SW1、SW2、SW3均为off时，可以通过PC软件设定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所需有效电流值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，最大值为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6000m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A，分辨率为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1m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4.9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3.5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5.6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4.0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6" w:name="_Toc2817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4.2 静态电流设置</w:t>
      </w:r>
      <w:bookmarkEnd w:id="26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驱动器默认半流锁机，电机</w:t>
      </w:r>
      <w:r>
        <w:rPr>
          <w:rFonts w:hint="default" w:ascii="Times New Roman" w:hAnsi="Times New Roman" w:eastAsia="微软雅黑" w:cs="Times New Roman"/>
          <w:sz w:val="18"/>
          <w:szCs w:val="18"/>
        </w:rPr>
        <w:t>停止后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电流自动减至一半。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若需要全流锁机，用户可通过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调试锁机电流百分比。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7" w:name="_Toc889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4.3 速度范围设置</w:t>
      </w:r>
      <w:bookmarkEnd w:id="27"/>
    </w:p>
    <w:tbl>
      <w:tblPr>
        <w:tblStyle w:val="9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72"/>
        <w:gridCol w:w="1172"/>
        <w:gridCol w:w="1174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R/min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3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细分说明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0-100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3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当SW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4-SW6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都为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off状态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时，用户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通过PC机软件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设置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模拟量调速的最大运行速度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单位：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r/min，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  <w:t>0-150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  <w:t>0-200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  <w:t>0-250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  <w:t>0-300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  <w:t>0-350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  <w:t>0-400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on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18"/>
                <w:szCs w:val="18"/>
                <w:lang w:val="en-US" w:eastAsia="zh-CN" w:bidi="ar-SA"/>
              </w:rPr>
              <w:t>0-450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off</w:t>
            </w: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</w:p>
        </w:tc>
      </w:tr>
    </w:tbl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28" w:name="_Toc14050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供电电源选择</w:t>
      </w:r>
      <w:bookmarkEnd w:id="28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电源电压在规定范围之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都可以正常工作，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DM456-V-24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驱动器最好采用稳压型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直流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开关电源供电，应注意开关电源的输出电流范围需设成最大。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也可以采用</w:t>
      </w:r>
      <w:r>
        <w:rPr>
          <w:rFonts w:hint="default" w:ascii="Times New Roman" w:hAnsi="Times New Roman" w:eastAsia="微软雅黑" w:cs="Times New Roman"/>
          <w:sz w:val="18"/>
          <w:szCs w:val="18"/>
        </w:rPr>
        <w:t>非稳压型直流电源供电，但注意应使整流后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接线时要注意电源正负极切勿反接；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最好用稳压型直流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开关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供电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采用非稳压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型直流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型直流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为降低成本，两三个驱动器可共用一个电源，但应保证电源功率足够大。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29" w:name="_Toc13086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保护功能</w:t>
      </w:r>
      <w:bookmarkEnd w:id="2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30" w:name="_Toc26309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6.1 过压保护</w:t>
      </w:r>
      <w:bookmarkEnd w:id="30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当输入电压高于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DC50</w:t>
      </w:r>
      <w:r>
        <w:rPr>
          <w:rFonts w:hint="default" w:ascii="Times New Roman" w:hAnsi="Times New Roman" w:eastAsia="微软雅黑" w:cs="Times New Roman"/>
          <w:sz w:val="18"/>
          <w:szCs w:val="18"/>
        </w:rPr>
        <w:t>V时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驱动器红灯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闪烁</w:t>
      </w:r>
      <w:r>
        <w:rPr>
          <w:rFonts w:hint="default" w:ascii="Times New Roman" w:hAnsi="Times New Roman" w:eastAsia="微软雅黑" w:cs="Times New Roman"/>
          <w:sz w:val="18"/>
          <w:szCs w:val="18"/>
        </w:rPr>
        <w:t>2次，且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3秒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为周期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反复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闪烁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。此时必须排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除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重新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上电复位。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31" w:name="_Toc7023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6.2 欠压保护</w:t>
      </w:r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当输入电压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低于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DC20</w:t>
      </w:r>
      <w:r>
        <w:rPr>
          <w:rFonts w:hint="default" w:ascii="Times New Roman" w:hAnsi="Times New Roman" w:eastAsia="微软雅黑" w:cs="Times New Roman"/>
          <w:sz w:val="18"/>
          <w:szCs w:val="18"/>
        </w:rPr>
        <w:t>V时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驱动器红灯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闪烁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sz w:val="18"/>
          <w:szCs w:val="18"/>
        </w:rPr>
        <w:t>次，且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3秒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为周期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反复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闪烁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。此时必须排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除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重新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上电复位。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32" w:name="_Toc29823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6.3 缺相保护</w:t>
      </w:r>
      <w:bookmarkEnd w:id="32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上电初始，电机缺相</w:t>
      </w:r>
      <w:r>
        <w:rPr>
          <w:rFonts w:hint="default" w:ascii="Times New Roman" w:hAnsi="Times New Roman" w:eastAsia="微软雅黑" w:cs="Times New Roman"/>
          <w:sz w:val="18"/>
          <w:szCs w:val="18"/>
        </w:rPr>
        <w:t>时，驱动器红灯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闪烁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sz w:val="18"/>
          <w:szCs w:val="18"/>
        </w:rPr>
        <w:t>次，且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3秒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为周期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反复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闪烁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。此时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必须排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除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重新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DM456-V-24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1E2F4C79"/>
    <w:multiLevelType w:val="singleLevel"/>
    <w:tmpl w:val="1E2F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293B222"/>
    <w:multiLevelType w:val="singleLevel"/>
    <w:tmpl w:val="3293B22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C4422A"/>
    <w:rsid w:val="01166072"/>
    <w:rsid w:val="016075F7"/>
    <w:rsid w:val="017747D9"/>
    <w:rsid w:val="02164017"/>
    <w:rsid w:val="024E444B"/>
    <w:rsid w:val="03777556"/>
    <w:rsid w:val="03AF0E4A"/>
    <w:rsid w:val="03B3128C"/>
    <w:rsid w:val="040D4F60"/>
    <w:rsid w:val="048A33E1"/>
    <w:rsid w:val="06C05F77"/>
    <w:rsid w:val="06C16167"/>
    <w:rsid w:val="07E05125"/>
    <w:rsid w:val="07F61156"/>
    <w:rsid w:val="08224B57"/>
    <w:rsid w:val="08327237"/>
    <w:rsid w:val="084176A2"/>
    <w:rsid w:val="08920D7D"/>
    <w:rsid w:val="08F3740C"/>
    <w:rsid w:val="090A360A"/>
    <w:rsid w:val="094C2972"/>
    <w:rsid w:val="0A09616F"/>
    <w:rsid w:val="0AF03078"/>
    <w:rsid w:val="0AF06908"/>
    <w:rsid w:val="0B073A94"/>
    <w:rsid w:val="0B395E29"/>
    <w:rsid w:val="0B8966B9"/>
    <w:rsid w:val="0BB17DAE"/>
    <w:rsid w:val="0BC772B9"/>
    <w:rsid w:val="0BCE033E"/>
    <w:rsid w:val="0C4176E6"/>
    <w:rsid w:val="0C9A19B5"/>
    <w:rsid w:val="0D657C70"/>
    <w:rsid w:val="0D740A27"/>
    <w:rsid w:val="0DAA3897"/>
    <w:rsid w:val="0DE756C2"/>
    <w:rsid w:val="0E027068"/>
    <w:rsid w:val="0E1B70DF"/>
    <w:rsid w:val="0E6938B0"/>
    <w:rsid w:val="0F7A0DA4"/>
    <w:rsid w:val="0FB629CF"/>
    <w:rsid w:val="0FC7273D"/>
    <w:rsid w:val="0FD7644E"/>
    <w:rsid w:val="10C72628"/>
    <w:rsid w:val="10E24495"/>
    <w:rsid w:val="11802486"/>
    <w:rsid w:val="11992EBC"/>
    <w:rsid w:val="11AA4525"/>
    <w:rsid w:val="11C065C6"/>
    <w:rsid w:val="1201768F"/>
    <w:rsid w:val="1262767B"/>
    <w:rsid w:val="12AA5200"/>
    <w:rsid w:val="12E723E3"/>
    <w:rsid w:val="12EC1659"/>
    <w:rsid w:val="136876CA"/>
    <w:rsid w:val="144F5E31"/>
    <w:rsid w:val="145D24CC"/>
    <w:rsid w:val="14601D26"/>
    <w:rsid w:val="15906837"/>
    <w:rsid w:val="1597687F"/>
    <w:rsid w:val="15C93214"/>
    <w:rsid w:val="15ED0D18"/>
    <w:rsid w:val="17B711F6"/>
    <w:rsid w:val="17B93615"/>
    <w:rsid w:val="17F23324"/>
    <w:rsid w:val="17F64D32"/>
    <w:rsid w:val="18395E6A"/>
    <w:rsid w:val="18CE4743"/>
    <w:rsid w:val="190B5C20"/>
    <w:rsid w:val="19762BE9"/>
    <w:rsid w:val="19E4312B"/>
    <w:rsid w:val="1A3578AB"/>
    <w:rsid w:val="1AB915B9"/>
    <w:rsid w:val="1ABA34B1"/>
    <w:rsid w:val="1AC577AB"/>
    <w:rsid w:val="1B070BAF"/>
    <w:rsid w:val="1B077B9A"/>
    <w:rsid w:val="1B3B56D6"/>
    <w:rsid w:val="1B5305DD"/>
    <w:rsid w:val="1B630ACA"/>
    <w:rsid w:val="1B93217F"/>
    <w:rsid w:val="1B954582"/>
    <w:rsid w:val="1BC72FAC"/>
    <w:rsid w:val="1C2C4754"/>
    <w:rsid w:val="1C63260E"/>
    <w:rsid w:val="1C6D64AE"/>
    <w:rsid w:val="1CA66953"/>
    <w:rsid w:val="1D1D0E21"/>
    <w:rsid w:val="1D545A68"/>
    <w:rsid w:val="1D6D1C06"/>
    <w:rsid w:val="1DBD052D"/>
    <w:rsid w:val="1E58377A"/>
    <w:rsid w:val="1E6A4918"/>
    <w:rsid w:val="1E9E5DD9"/>
    <w:rsid w:val="1EE52DD5"/>
    <w:rsid w:val="1F1431DE"/>
    <w:rsid w:val="1F347012"/>
    <w:rsid w:val="1F794A03"/>
    <w:rsid w:val="1FEA7CD7"/>
    <w:rsid w:val="205765BD"/>
    <w:rsid w:val="20EF1098"/>
    <w:rsid w:val="21210377"/>
    <w:rsid w:val="218D6EE4"/>
    <w:rsid w:val="220C4788"/>
    <w:rsid w:val="22605BD5"/>
    <w:rsid w:val="23352742"/>
    <w:rsid w:val="233F0F01"/>
    <w:rsid w:val="2369509F"/>
    <w:rsid w:val="23746B52"/>
    <w:rsid w:val="23D92C3D"/>
    <w:rsid w:val="24300223"/>
    <w:rsid w:val="249D77D8"/>
    <w:rsid w:val="24F074F3"/>
    <w:rsid w:val="26265A6B"/>
    <w:rsid w:val="267771B6"/>
    <w:rsid w:val="269B69A9"/>
    <w:rsid w:val="26DD03B1"/>
    <w:rsid w:val="26E5451C"/>
    <w:rsid w:val="27271A24"/>
    <w:rsid w:val="2766567C"/>
    <w:rsid w:val="281A542B"/>
    <w:rsid w:val="282A7DE1"/>
    <w:rsid w:val="28583EE1"/>
    <w:rsid w:val="29196625"/>
    <w:rsid w:val="29682341"/>
    <w:rsid w:val="299209E4"/>
    <w:rsid w:val="29C95921"/>
    <w:rsid w:val="2A070884"/>
    <w:rsid w:val="2A7B6703"/>
    <w:rsid w:val="2B023B30"/>
    <w:rsid w:val="2B290E8F"/>
    <w:rsid w:val="2B2C37EE"/>
    <w:rsid w:val="2B49288B"/>
    <w:rsid w:val="2C1061D3"/>
    <w:rsid w:val="2C455599"/>
    <w:rsid w:val="2D9F267E"/>
    <w:rsid w:val="2DA137B3"/>
    <w:rsid w:val="2DC16337"/>
    <w:rsid w:val="2DF62F96"/>
    <w:rsid w:val="2E09758F"/>
    <w:rsid w:val="2E4C159B"/>
    <w:rsid w:val="2E961CC3"/>
    <w:rsid w:val="2EC757AE"/>
    <w:rsid w:val="2EDC2251"/>
    <w:rsid w:val="2F286AB1"/>
    <w:rsid w:val="2FEB28BA"/>
    <w:rsid w:val="30BA0611"/>
    <w:rsid w:val="30FA6EDF"/>
    <w:rsid w:val="31037D6F"/>
    <w:rsid w:val="31EB0313"/>
    <w:rsid w:val="329F3DBD"/>
    <w:rsid w:val="32EA287E"/>
    <w:rsid w:val="3366351A"/>
    <w:rsid w:val="338B375B"/>
    <w:rsid w:val="338E5DF5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BB23812"/>
    <w:rsid w:val="3BC63166"/>
    <w:rsid w:val="3CC61561"/>
    <w:rsid w:val="3CF20A41"/>
    <w:rsid w:val="3D1B2B4F"/>
    <w:rsid w:val="3D254B32"/>
    <w:rsid w:val="3D711AC4"/>
    <w:rsid w:val="3D814925"/>
    <w:rsid w:val="3E2D0A5F"/>
    <w:rsid w:val="3E444399"/>
    <w:rsid w:val="3E48642C"/>
    <w:rsid w:val="3F0B53D2"/>
    <w:rsid w:val="3F782E63"/>
    <w:rsid w:val="3F7D6C1D"/>
    <w:rsid w:val="3F8C3F8D"/>
    <w:rsid w:val="3FE52795"/>
    <w:rsid w:val="40845FBB"/>
    <w:rsid w:val="40911EE3"/>
    <w:rsid w:val="40E26D93"/>
    <w:rsid w:val="411D19BC"/>
    <w:rsid w:val="42122C99"/>
    <w:rsid w:val="424672CC"/>
    <w:rsid w:val="425B4A3E"/>
    <w:rsid w:val="42D552D9"/>
    <w:rsid w:val="43926F31"/>
    <w:rsid w:val="43F123DA"/>
    <w:rsid w:val="43F2769A"/>
    <w:rsid w:val="44B42992"/>
    <w:rsid w:val="451059B6"/>
    <w:rsid w:val="457B4BA0"/>
    <w:rsid w:val="45AC1336"/>
    <w:rsid w:val="46660CCB"/>
    <w:rsid w:val="46A820B8"/>
    <w:rsid w:val="46C96AF2"/>
    <w:rsid w:val="46D62EB0"/>
    <w:rsid w:val="46E26EC9"/>
    <w:rsid w:val="48A815E4"/>
    <w:rsid w:val="48E73C02"/>
    <w:rsid w:val="498B7DF6"/>
    <w:rsid w:val="49F67D08"/>
    <w:rsid w:val="4A830817"/>
    <w:rsid w:val="4AC426D2"/>
    <w:rsid w:val="4B05560A"/>
    <w:rsid w:val="4B5F487B"/>
    <w:rsid w:val="4B86304D"/>
    <w:rsid w:val="4CEB554E"/>
    <w:rsid w:val="4DB04CEB"/>
    <w:rsid w:val="4E3B1ED7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C33239"/>
    <w:rsid w:val="51EA3332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34744A"/>
    <w:rsid w:val="54F61E2B"/>
    <w:rsid w:val="55BC2704"/>
    <w:rsid w:val="55C302E1"/>
    <w:rsid w:val="55C86740"/>
    <w:rsid w:val="55F84FD9"/>
    <w:rsid w:val="564B6A02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93818"/>
    <w:rsid w:val="5BAC4672"/>
    <w:rsid w:val="5C165CD4"/>
    <w:rsid w:val="5C6315B9"/>
    <w:rsid w:val="5CB15A08"/>
    <w:rsid w:val="5E8D5293"/>
    <w:rsid w:val="5EE322FA"/>
    <w:rsid w:val="5F09549E"/>
    <w:rsid w:val="5F311774"/>
    <w:rsid w:val="5F6E0395"/>
    <w:rsid w:val="601D39D5"/>
    <w:rsid w:val="61087544"/>
    <w:rsid w:val="61164EC7"/>
    <w:rsid w:val="612E1398"/>
    <w:rsid w:val="614841B3"/>
    <w:rsid w:val="61612685"/>
    <w:rsid w:val="61B77E8C"/>
    <w:rsid w:val="62127904"/>
    <w:rsid w:val="63616EE1"/>
    <w:rsid w:val="637F2C3F"/>
    <w:rsid w:val="63C04060"/>
    <w:rsid w:val="63D45BF8"/>
    <w:rsid w:val="6400445E"/>
    <w:rsid w:val="645E6D04"/>
    <w:rsid w:val="64AD6D92"/>
    <w:rsid w:val="65BC44AD"/>
    <w:rsid w:val="65CE2C46"/>
    <w:rsid w:val="66C765C3"/>
    <w:rsid w:val="672E76D4"/>
    <w:rsid w:val="67787FD4"/>
    <w:rsid w:val="67C8246C"/>
    <w:rsid w:val="67CD511C"/>
    <w:rsid w:val="68530F87"/>
    <w:rsid w:val="6871307C"/>
    <w:rsid w:val="687617BD"/>
    <w:rsid w:val="68861124"/>
    <w:rsid w:val="68BC35D6"/>
    <w:rsid w:val="69036D6D"/>
    <w:rsid w:val="69483A84"/>
    <w:rsid w:val="69DD2CE5"/>
    <w:rsid w:val="69E203AF"/>
    <w:rsid w:val="69F92C1A"/>
    <w:rsid w:val="6A1E307E"/>
    <w:rsid w:val="6AA42C92"/>
    <w:rsid w:val="6BF00AFD"/>
    <w:rsid w:val="6C724482"/>
    <w:rsid w:val="6CC02980"/>
    <w:rsid w:val="6D460494"/>
    <w:rsid w:val="6D6E28C0"/>
    <w:rsid w:val="6DD70E35"/>
    <w:rsid w:val="6E392719"/>
    <w:rsid w:val="6E4C4CEB"/>
    <w:rsid w:val="6EAF5ECE"/>
    <w:rsid w:val="6EB72135"/>
    <w:rsid w:val="6EDF71D6"/>
    <w:rsid w:val="6F356131"/>
    <w:rsid w:val="6F4552C5"/>
    <w:rsid w:val="6FC26DD3"/>
    <w:rsid w:val="706B5927"/>
    <w:rsid w:val="70E54314"/>
    <w:rsid w:val="712F3359"/>
    <w:rsid w:val="71566622"/>
    <w:rsid w:val="71811EF5"/>
    <w:rsid w:val="720A081C"/>
    <w:rsid w:val="72373462"/>
    <w:rsid w:val="73E5721F"/>
    <w:rsid w:val="740D32C6"/>
    <w:rsid w:val="74C92D8F"/>
    <w:rsid w:val="74DF3DC6"/>
    <w:rsid w:val="750D7104"/>
    <w:rsid w:val="752A6BA8"/>
    <w:rsid w:val="755E148F"/>
    <w:rsid w:val="757D2C6B"/>
    <w:rsid w:val="75E94A49"/>
    <w:rsid w:val="760314E3"/>
    <w:rsid w:val="772B4F7A"/>
    <w:rsid w:val="777A5616"/>
    <w:rsid w:val="78216F7B"/>
    <w:rsid w:val="78A51BC3"/>
    <w:rsid w:val="78A820FE"/>
    <w:rsid w:val="78A84D9A"/>
    <w:rsid w:val="78BD7E63"/>
    <w:rsid w:val="78ED1B53"/>
    <w:rsid w:val="795B008D"/>
    <w:rsid w:val="79803217"/>
    <w:rsid w:val="79C42BF2"/>
    <w:rsid w:val="79EE05E0"/>
    <w:rsid w:val="7A473776"/>
    <w:rsid w:val="7A5D1C99"/>
    <w:rsid w:val="7A992CF5"/>
    <w:rsid w:val="7AA41EB8"/>
    <w:rsid w:val="7AEF621C"/>
    <w:rsid w:val="7B994F70"/>
    <w:rsid w:val="7BB9253D"/>
    <w:rsid w:val="7BBC730E"/>
    <w:rsid w:val="7BF3467E"/>
    <w:rsid w:val="7C07270A"/>
    <w:rsid w:val="7C101ADA"/>
    <w:rsid w:val="7C721993"/>
    <w:rsid w:val="7C9267BB"/>
    <w:rsid w:val="7CA35BD3"/>
    <w:rsid w:val="7D193FB0"/>
    <w:rsid w:val="7D1F4FB6"/>
    <w:rsid w:val="7DBA28C4"/>
    <w:rsid w:val="7DE52FCB"/>
    <w:rsid w:val="7E021463"/>
    <w:rsid w:val="7F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</w:pPr>
    <w:rPr>
      <w:rFonts w:asciiTheme="minorHAnsi" w:hAnsiTheme="minorHAnsi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3205</Words>
  <Characters>3836</Characters>
  <Lines>62</Lines>
  <Paragraphs>17</Paragraphs>
  <TotalTime>0</TotalTime>
  <ScaleCrop>false</ScaleCrop>
  <LinksUpToDate>false</LinksUpToDate>
  <CharactersWithSpaces>4123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2023-02-09T12:04:42Z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9441313E4B49435EA9EBD40081D1260F</vt:lpwstr>
  </property>
</Properties>
</file>